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4"/>
        <w:gridCol w:w="6246"/>
      </w:tblGrid>
      <w:tr w:rsidR="00EF4896" w:rsidRPr="00B81CF4" w:rsidTr="004E4E19">
        <w:trPr>
          <w:trHeight w:val="1632"/>
        </w:trPr>
        <w:tc>
          <w:tcPr>
            <w:tcW w:w="3924" w:type="dxa"/>
            <w:tcBorders>
              <w:top w:val="nil"/>
              <w:left w:val="nil"/>
              <w:bottom w:val="nil"/>
              <w:right w:val="nil"/>
            </w:tcBorders>
          </w:tcPr>
          <w:p w:rsidR="00EF4896" w:rsidRPr="00B81CF4" w:rsidRDefault="00EF4896" w:rsidP="00BA5CC3">
            <w:pPr>
              <w:jc w:val="center"/>
              <w:rPr>
                <w:rFonts w:eastAsia="Batang"/>
                <w:sz w:val="26"/>
                <w:szCs w:val="26"/>
              </w:rPr>
            </w:pPr>
            <w:r w:rsidRPr="00B81CF4">
              <w:rPr>
                <w:rFonts w:eastAsia="Batang"/>
                <w:sz w:val="26"/>
                <w:szCs w:val="26"/>
              </w:rPr>
              <w:t>UBND TỈNH GIA LAI</w:t>
            </w:r>
          </w:p>
          <w:p w:rsidR="00EF4896" w:rsidRPr="00B81CF4" w:rsidRDefault="00EF4896" w:rsidP="00BA5CC3">
            <w:pPr>
              <w:rPr>
                <w:rFonts w:eastAsia="Batang"/>
                <w:b/>
                <w:szCs w:val="28"/>
              </w:rPr>
            </w:pPr>
            <w:r w:rsidRPr="00B81CF4">
              <w:rPr>
                <w:rFonts w:eastAsia="Batang"/>
                <w:b/>
                <w:szCs w:val="28"/>
              </w:rPr>
              <w:t>SỞ KẾ HOẠCH VÀ ĐẦU TƯ</w:t>
            </w:r>
          </w:p>
          <w:p w:rsidR="00EF4896" w:rsidRPr="00B81CF4" w:rsidRDefault="00C175A6" w:rsidP="00BA5CC3">
            <w:pPr>
              <w:spacing w:before="240"/>
              <w:jc w:val="center"/>
              <w:rPr>
                <w:rFonts w:eastAsia="Batang"/>
                <w:sz w:val="26"/>
                <w:szCs w:val="26"/>
              </w:rPr>
            </w:pPr>
            <w:r>
              <w:rPr>
                <w:rFonts w:eastAsia="Batang"/>
                <w:noProof/>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569595</wp:posOffset>
                      </wp:positionH>
                      <wp:positionV relativeFrom="paragraph">
                        <wp:posOffset>33020</wp:posOffset>
                      </wp:positionV>
                      <wp:extent cx="1114425" cy="0"/>
                      <wp:effectExtent l="13970" t="8255" r="5080"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F2421" id="_x0000_t32" coordsize="21600,21600" o:spt="32" o:oned="t" path="m,l21600,21600e" filled="f">
                      <v:path arrowok="t" fillok="f" o:connecttype="none"/>
                      <o:lock v:ext="edit" shapetype="t"/>
                    </v:shapetype>
                    <v:shape id="AutoShape 5" o:spid="_x0000_s1026" type="#_x0000_t32" style="position:absolute;margin-left:44.85pt;margin-top:2.6pt;width:8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7WGw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c1DeQbjCrCq1M6GBOlJPZsnTX84pHTVEdXyaPxyNuCbBY/kjUu4OANB9sMXzcCGAH6s&#10;1amxfYCEKqBTbMn51hJ+8ojCY5ZleT6bY0RHXUKK0dFY5z9z3aMglNh5S0Tb+UorBY3XNothyPHJ&#10;+UCLFKNDiKr0VkgZ+y8VGkq8nEOcoHFaChaU8WLbfSUtOpIwQfGLOb4zs/qgWATrOGGbq+yJkBcZ&#10;gksV8CAxoHOVLiPyc5kuN4vNIp/ks/vNJE/revK4rfLJ/Tb7NK/v6qqqs1+BWpYXnWCMq8BuHNcs&#10;/7txuC7OZdBuA3srQ/IWPdYLyI7/SDp2NjTzMhZ7zc47O3YcJjQaX7cprMDrO8ivd379GwAA//8D&#10;AFBLAwQUAAYACAAAACEACdxQUtoAAAAGAQAADwAAAGRycy9kb3ducmV2LnhtbEyOQUvDQBSE74L/&#10;YXmCF7GbBlrbmE0pggePtgWvr9lnEs2+DdlNE/vrffVibzPMMPPlm8m16kR9aDwbmM8SUMSltw1X&#10;Bg7718cVqBCRLbaeycAPBdgUtzc5ZtaP/E6nXayUjHDI0EAdY5dpHcqaHIaZ74gl+/S9wyi2r7Tt&#10;cZRx1+o0SZbaYcPyUGNHLzWV37vBGaAwLObJdu2qw9t5fPhIz19jtzfm/m7aPoOKNMX/MlzwBR0K&#10;YTr6gW1QrYHV+kmaBhYpKInT5UUc/7wucn2NX/wCAAD//wMAUEsBAi0AFAAGAAgAAAAhALaDOJL+&#10;AAAA4QEAABMAAAAAAAAAAAAAAAAAAAAAAFtDb250ZW50X1R5cGVzXS54bWxQSwECLQAUAAYACAAA&#10;ACEAOP0h/9YAAACUAQAACwAAAAAAAAAAAAAAAAAvAQAAX3JlbHMvLnJlbHNQSwECLQAUAAYACAAA&#10;ACEAVoJO1hsCAAA7BAAADgAAAAAAAAAAAAAAAAAuAgAAZHJzL2Uyb0RvYy54bWxQSwECLQAUAAYA&#10;CAAAACEACdxQUtoAAAAGAQAADwAAAAAAAAAAAAAAAAB1BAAAZHJzL2Rvd25yZXYueG1sUEsFBgAA&#10;AAAEAAQA8wAAAHwFAAAAAA==&#10;"/>
                  </w:pict>
                </mc:Fallback>
              </mc:AlternateContent>
            </w:r>
            <w:r w:rsidR="00EF4896" w:rsidRPr="00B81CF4">
              <w:rPr>
                <w:rFonts w:eastAsia="Batang"/>
                <w:szCs w:val="26"/>
              </w:rPr>
              <w:t>Số:         /BC-SKHĐT</w:t>
            </w:r>
          </w:p>
        </w:tc>
        <w:tc>
          <w:tcPr>
            <w:tcW w:w="6246" w:type="dxa"/>
            <w:tcBorders>
              <w:top w:val="nil"/>
              <w:left w:val="nil"/>
              <w:bottom w:val="nil"/>
              <w:right w:val="nil"/>
            </w:tcBorders>
          </w:tcPr>
          <w:p w:rsidR="00EF4896" w:rsidRPr="00B81CF4" w:rsidRDefault="00EF4896" w:rsidP="00BA5CC3">
            <w:pPr>
              <w:ind w:left="-108" w:right="-108"/>
              <w:rPr>
                <w:rFonts w:eastAsia="Batang"/>
                <w:b/>
                <w:sz w:val="26"/>
                <w:szCs w:val="26"/>
              </w:rPr>
            </w:pPr>
            <w:r w:rsidRPr="00B81CF4">
              <w:rPr>
                <w:rFonts w:eastAsia="Batang"/>
                <w:b/>
                <w:sz w:val="26"/>
                <w:szCs w:val="26"/>
              </w:rPr>
              <w:t xml:space="preserve">     CỘNG HÒA XÃ HỘI CHỦ NGHĨA VIỆT NAM</w:t>
            </w:r>
          </w:p>
          <w:p w:rsidR="00EF4896" w:rsidRPr="00B81CF4" w:rsidRDefault="00EF4896" w:rsidP="00BA5CC3">
            <w:pPr>
              <w:jc w:val="center"/>
              <w:rPr>
                <w:rFonts w:eastAsia="Batang"/>
                <w:b/>
                <w:szCs w:val="28"/>
              </w:rPr>
            </w:pPr>
            <w:r w:rsidRPr="00B81CF4">
              <w:rPr>
                <w:rFonts w:eastAsia="Batang"/>
                <w:b/>
                <w:sz w:val="26"/>
                <w:szCs w:val="26"/>
              </w:rPr>
              <w:t xml:space="preserve">   </w:t>
            </w:r>
            <w:r w:rsidRPr="00B81CF4">
              <w:rPr>
                <w:rFonts w:eastAsia="Batang"/>
                <w:b/>
                <w:szCs w:val="28"/>
              </w:rPr>
              <w:t>Độc lập - Tự do - Hạnh phúc</w:t>
            </w:r>
          </w:p>
          <w:p w:rsidR="00EF4896" w:rsidRPr="00B81CF4" w:rsidRDefault="00C175A6" w:rsidP="00BA5CC3">
            <w:pPr>
              <w:jc w:val="center"/>
              <w:rPr>
                <w:rFonts w:eastAsia="Batang"/>
                <w:b/>
                <w:sz w:val="26"/>
                <w:szCs w:val="26"/>
              </w:rPr>
            </w:pPr>
            <w:r>
              <w:rPr>
                <w:rFonts w:eastAsia="Batang"/>
                <w:b/>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874395</wp:posOffset>
                      </wp:positionH>
                      <wp:positionV relativeFrom="paragraph">
                        <wp:posOffset>42545</wp:posOffset>
                      </wp:positionV>
                      <wp:extent cx="2171700" cy="0"/>
                      <wp:effectExtent l="10160" t="8255" r="889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FBA1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35pt" to="239.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Qdvj79oAAAAHAQAADwAAAGRycy9kb3ducmV2LnhtbEyOwU7DMBBE70j8g7VIXKrWoUUN&#10;hDgVAnLj0kLFdRsvSUS8TmO3DXw9Cxc47YxmNPvy1eg6daQhtJ4NXM0SUMSVty3XBl5fyukNqBCR&#10;LXaeycAnBVgV52c5ZtafeE3HTayVjHDI0EATY59pHaqGHIaZ74kle/eDwyh2qLUd8CTjrtPzJFlq&#10;hy3LhwZ7emio+tgcnIFQbmlffk2qSfK2qD3N94/PT2jM5cV4fwcq0hj/yvCDL+hQCNPOH9gG1Ylf&#10;pKlUDSzlSH6d3orY/Xpd5Po/f/ENAAD//wMAUEsBAi0AFAAGAAgAAAAhALaDOJL+AAAA4QEAABMA&#10;AAAAAAAAAAAAAAAAAAAAAFtDb250ZW50X1R5cGVzXS54bWxQSwECLQAUAAYACAAAACEAOP0h/9YA&#10;AACUAQAACwAAAAAAAAAAAAAAAAAvAQAAX3JlbHMvLnJlbHNQSwECLQAUAAYACAAAACEAaawdcBIC&#10;AAAoBAAADgAAAAAAAAAAAAAAAAAuAgAAZHJzL2Uyb0RvYy54bWxQSwECLQAUAAYACAAAACEAQdvj&#10;79oAAAAHAQAADwAAAAAAAAAAAAAAAABsBAAAZHJzL2Rvd25yZXYueG1sUEsFBgAAAAAEAAQA8wAA&#10;AHMFAAAAAA==&#10;"/>
                  </w:pict>
                </mc:Fallback>
              </mc:AlternateContent>
            </w:r>
          </w:p>
          <w:p w:rsidR="00EF4896" w:rsidRPr="00B81CF4" w:rsidRDefault="00EF4896" w:rsidP="00A123F5">
            <w:pPr>
              <w:keepNext/>
              <w:jc w:val="right"/>
              <w:outlineLvl w:val="2"/>
              <w:rPr>
                <w:rFonts w:eastAsia="Batang"/>
                <w:i/>
                <w:sz w:val="26"/>
                <w:szCs w:val="26"/>
              </w:rPr>
            </w:pPr>
            <w:r w:rsidRPr="00B81CF4">
              <w:rPr>
                <w:rFonts w:eastAsia="Batang"/>
                <w:i/>
                <w:sz w:val="26"/>
                <w:szCs w:val="26"/>
              </w:rPr>
              <w:t xml:space="preserve">                 </w:t>
            </w:r>
            <w:r w:rsidRPr="00B81CF4">
              <w:rPr>
                <w:rFonts w:eastAsia="Batang"/>
                <w:i/>
                <w:szCs w:val="28"/>
              </w:rPr>
              <w:t xml:space="preserve">Gia Lai, ngày     </w:t>
            </w:r>
            <w:r w:rsidR="004C50CF">
              <w:rPr>
                <w:rFonts w:eastAsia="Batang"/>
                <w:i/>
                <w:szCs w:val="28"/>
              </w:rPr>
              <w:t>10</w:t>
            </w:r>
            <w:r w:rsidRPr="00B81CF4">
              <w:rPr>
                <w:rFonts w:eastAsia="Batang"/>
                <w:i/>
                <w:szCs w:val="28"/>
              </w:rPr>
              <w:t xml:space="preserve">    tháng</w:t>
            </w:r>
            <w:r w:rsidR="003E79DE" w:rsidRPr="00B81CF4">
              <w:rPr>
                <w:rFonts w:eastAsia="Batang"/>
                <w:i/>
                <w:szCs w:val="28"/>
              </w:rPr>
              <w:t xml:space="preserve"> </w:t>
            </w:r>
            <w:r w:rsidR="00A123F5">
              <w:rPr>
                <w:rFonts w:eastAsia="Batang"/>
                <w:i/>
                <w:szCs w:val="28"/>
              </w:rPr>
              <w:t>11</w:t>
            </w:r>
            <w:r w:rsidR="003E79DE" w:rsidRPr="00B81CF4">
              <w:rPr>
                <w:rFonts w:eastAsia="Batang"/>
                <w:i/>
                <w:szCs w:val="28"/>
              </w:rPr>
              <w:t xml:space="preserve"> </w:t>
            </w:r>
            <w:r w:rsidRPr="00B81CF4">
              <w:rPr>
                <w:rFonts w:eastAsia="Batang"/>
                <w:i/>
                <w:szCs w:val="28"/>
              </w:rPr>
              <w:t>năm 201</w:t>
            </w:r>
            <w:r w:rsidR="003E79DE" w:rsidRPr="00B81CF4">
              <w:rPr>
                <w:rFonts w:eastAsia="Batang"/>
                <w:i/>
                <w:szCs w:val="28"/>
              </w:rPr>
              <w:t>6</w:t>
            </w:r>
          </w:p>
        </w:tc>
      </w:tr>
    </w:tbl>
    <w:p w:rsidR="00B81CF4" w:rsidRPr="00B81CF4" w:rsidRDefault="00B81CF4" w:rsidP="00CD7707">
      <w:pPr>
        <w:jc w:val="center"/>
        <w:rPr>
          <w:b/>
          <w:sz w:val="30"/>
          <w:szCs w:val="30"/>
        </w:rPr>
      </w:pPr>
    </w:p>
    <w:p w:rsidR="00EF4896" w:rsidRPr="00B81CF4" w:rsidRDefault="00EF4896" w:rsidP="00CD7707">
      <w:pPr>
        <w:jc w:val="center"/>
        <w:rPr>
          <w:b/>
          <w:sz w:val="30"/>
          <w:szCs w:val="30"/>
        </w:rPr>
      </w:pPr>
      <w:r w:rsidRPr="00B81CF4">
        <w:rPr>
          <w:b/>
          <w:sz w:val="30"/>
          <w:szCs w:val="30"/>
        </w:rPr>
        <w:t>BÁO CÁO</w:t>
      </w:r>
    </w:p>
    <w:p w:rsidR="00EF4896" w:rsidRDefault="00EF4896" w:rsidP="00A123F5">
      <w:pPr>
        <w:jc w:val="center"/>
        <w:rPr>
          <w:b/>
          <w:szCs w:val="28"/>
        </w:rPr>
      </w:pPr>
      <w:r w:rsidRPr="00B81CF4">
        <w:rPr>
          <w:b/>
          <w:szCs w:val="28"/>
        </w:rPr>
        <w:t>Về</w:t>
      </w:r>
      <w:r w:rsidR="003E79DE" w:rsidRPr="00B81CF4">
        <w:rPr>
          <w:b/>
          <w:szCs w:val="28"/>
        </w:rPr>
        <w:t xml:space="preserve"> tình hình và kết quả thực hiện</w:t>
      </w:r>
      <w:r w:rsidR="00EB0B29" w:rsidRPr="00B81CF4">
        <w:rPr>
          <w:b/>
          <w:szCs w:val="28"/>
        </w:rPr>
        <w:t xml:space="preserve"> </w:t>
      </w:r>
      <w:r w:rsidRPr="00B81CF4">
        <w:rPr>
          <w:b/>
          <w:szCs w:val="28"/>
        </w:rPr>
        <w:t>c</w:t>
      </w:r>
      <w:r w:rsidR="00EB0B29" w:rsidRPr="00B81CF4">
        <w:rPr>
          <w:b/>
          <w:szCs w:val="28"/>
        </w:rPr>
        <w:t>ông tác</w:t>
      </w:r>
      <w:r w:rsidR="00A123F5">
        <w:rPr>
          <w:b/>
          <w:szCs w:val="28"/>
        </w:rPr>
        <w:t xml:space="preserve"> kiểm soát TTHC</w:t>
      </w:r>
      <w:r w:rsidR="003E79DE" w:rsidRPr="00B81CF4">
        <w:rPr>
          <w:b/>
          <w:szCs w:val="28"/>
        </w:rPr>
        <w:t xml:space="preserve"> </w:t>
      </w:r>
      <w:r w:rsidRPr="00B81CF4">
        <w:rPr>
          <w:b/>
          <w:szCs w:val="28"/>
        </w:rPr>
        <w:t>năm 201</w:t>
      </w:r>
      <w:r w:rsidR="00EB0B29" w:rsidRPr="00B81CF4">
        <w:rPr>
          <w:b/>
          <w:szCs w:val="28"/>
        </w:rPr>
        <w:t>6</w:t>
      </w:r>
    </w:p>
    <w:p w:rsidR="00A123F5" w:rsidRDefault="00A123F5" w:rsidP="00BA7AC7">
      <w:pPr>
        <w:spacing w:after="360"/>
        <w:jc w:val="center"/>
        <w:rPr>
          <w:b/>
          <w:szCs w:val="28"/>
        </w:rPr>
      </w:pPr>
      <w:r>
        <w:rPr>
          <w:b/>
          <w:noProof/>
          <w:szCs w:val="28"/>
          <w:lang w:val="vi-VN" w:eastAsia="vi-VN"/>
        </w:rPr>
        <mc:AlternateContent>
          <mc:Choice Requires="wps">
            <w:drawing>
              <wp:anchor distT="0" distB="0" distL="114300" distR="114300" simplePos="0" relativeHeight="251662336" behindDoc="0" locked="0" layoutInCell="1" allowOverlap="1" wp14:anchorId="65D82915" wp14:editId="30AD0091">
                <wp:simplePos x="0" y="0"/>
                <wp:positionH relativeFrom="column">
                  <wp:posOffset>1938020</wp:posOffset>
                </wp:positionH>
                <wp:positionV relativeFrom="paragraph">
                  <wp:posOffset>45720</wp:posOffset>
                </wp:positionV>
                <wp:extent cx="2248535" cy="0"/>
                <wp:effectExtent l="0" t="0" r="3746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ED0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3.6pt" to="329.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3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zzYjZ5mmBE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8k3ErdsAAAAHAQAADwAAAGRycy9kb3ducmV2LnhtbEyOwU7DMBBE70j8g7VIXCpqk6gF&#10;QpwKAblxaQFx3SZLEhGv09htA1/PwgVOo9GMZl6+mlyvDjSGzrOFy7kBRVz5uuPGwstzeXENKkTk&#10;GnvPZOGTAqyK05Mcs9ofeU2HTWyUjHDI0EIb45BpHaqWHIa5H4gle/ejwyh2bHQ94lHGXa8TY5ba&#10;Ycfy0OJA9y1VH5u9sxDKV9qVX7NqZt7SxlOye3h6RGvPz6a7W1CRpvhXhh98QYdCmLZ+z3VQvYXU&#10;LBKpWrgSkXy5uElBbX+9LnL9n7/4BgAA//8DAFBLAQItABQABgAIAAAAIQC2gziS/gAAAOEBAAAT&#10;AAAAAAAAAAAAAAAAAAAAAABbQ29udGVudF9UeXBlc10ueG1sUEsBAi0AFAAGAAgAAAAhADj9If/W&#10;AAAAlAEAAAsAAAAAAAAAAAAAAAAALwEAAF9yZWxzLy5yZWxzUEsBAi0AFAAGAAgAAAAhAJpY7foS&#10;AgAAKAQAAA4AAAAAAAAAAAAAAAAALgIAAGRycy9lMm9Eb2MueG1sUEsBAi0AFAAGAAgAAAAhAPJN&#10;xK3bAAAABwEAAA8AAAAAAAAAAAAAAAAAbAQAAGRycy9kb3ducmV2LnhtbFBLBQYAAAAABAAEAPMA&#10;AAB0BQAAAAA=&#10;"/>
            </w:pict>
          </mc:Fallback>
        </mc:AlternateContent>
      </w:r>
    </w:p>
    <w:p w:rsidR="00EF4896" w:rsidRPr="00B81CF4" w:rsidRDefault="00EF4896" w:rsidP="00BA7AC7">
      <w:pPr>
        <w:ind w:firstLine="720"/>
        <w:jc w:val="both"/>
        <w:rPr>
          <w:szCs w:val="28"/>
        </w:rPr>
      </w:pPr>
      <w:r w:rsidRPr="00B81CF4">
        <w:rPr>
          <w:b/>
          <w:szCs w:val="28"/>
        </w:rPr>
        <w:t>I.</w:t>
      </w:r>
      <w:r w:rsidRPr="00B81CF4">
        <w:rPr>
          <w:szCs w:val="28"/>
        </w:rPr>
        <w:t xml:space="preserve"> </w:t>
      </w:r>
      <w:r w:rsidRPr="00B81CF4">
        <w:rPr>
          <w:b/>
          <w:szCs w:val="28"/>
        </w:rPr>
        <w:t>TÌNH HÌNH VÀ KẾT QUẢ THỰC HIỆN</w:t>
      </w:r>
    </w:p>
    <w:p w:rsidR="00EF4896" w:rsidRPr="00B81CF4" w:rsidRDefault="00EF4896" w:rsidP="00CD7707">
      <w:pPr>
        <w:ind w:firstLine="720"/>
        <w:jc w:val="both"/>
        <w:rPr>
          <w:szCs w:val="28"/>
        </w:rPr>
      </w:pPr>
      <w:r w:rsidRPr="00B81CF4">
        <w:rPr>
          <w:b/>
          <w:szCs w:val="28"/>
        </w:rPr>
        <w:t>1. Công tác cập nhật, trình UBND tỉnh công bố TTHC</w:t>
      </w:r>
      <w:r w:rsidRPr="00B81CF4">
        <w:rPr>
          <w:szCs w:val="28"/>
        </w:rPr>
        <w:t>:</w:t>
      </w:r>
    </w:p>
    <w:p w:rsidR="00EF4896" w:rsidRPr="00B81CF4" w:rsidRDefault="00EF4896" w:rsidP="00BA7AC7">
      <w:pPr>
        <w:spacing w:before="60" w:after="60"/>
        <w:ind w:firstLine="720"/>
        <w:jc w:val="both"/>
        <w:rPr>
          <w:szCs w:val="28"/>
        </w:rPr>
      </w:pPr>
      <w:r w:rsidRPr="00B81CF4">
        <w:rPr>
          <w:szCs w:val="28"/>
        </w:rPr>
        <w:t xml:space="preserve">Thực hiện </w:t>
      </w:r>
      <w:r w:rsidR="006C46DB" w:rsidRPr="00B81CF4">
        <w:rPr>
          <w:szCs w:val="28"/>
        </w:rPr>
        <w:t xml:space="preserve">Thông tư số 05/2014/TT-BTP ngày 07/02/2014 của Bộ Tư pháp hướng dẫn về việc công bố, niêm yết công khai TTHC và báo cáo về tình hình, kết quả thực hiện kiểm soát TTHC; </w:t>
      </w:r>
      <w:r w:rsidRPr="00B81CF4">
        <w:rPr>
          <w:szCs w:val="28"/>
        </w:rPr>
        <w:t>Quyết định số 04/QĐ-UBND ngày 04/01/2012 của UBND tỉnh Gia Lai về việc ban hành chương trình cải cách hành chính</w:t>
      </w:r>
      <w:r w:rsidR="004B1F2C" w:rsidRPr="00B81CF4">
        <w:rPr>
          <w:szCs w:val="28"/>
        </w:rPr>
        <w:t xml:space="preserve"> (CCHC)</w:t>
      </w:r>
      <w:r w:rsidRPr="00B81CF4">
        <w:rPr>
          <w:szCs w:val="28"/>
        </w:rPr>
        <w:t xml:space="preserve"> nhà nước giai đoạn 2011-2020 của tỉnh Gia Lai; Quyết định số </w:t>
      </w:r>
      <w:r w:rsidR="00045BC7" w:rsidRPr="00B81CF4">
        <w:rPr>
          <w:bCs/>
          <w:szCs w:val="28"/>
        </w:rPr>
        <w:t xml:space="preserve">812/QĐ-UBND ngày 09/12/2015 của  UBND tỉnh Gia Lai </w:t>
      </w:r>
      <w:r w:rsidRPr="00B81CF4">
        <w:rPr>
          <w:szCs w:val="28"/>
        </w:rPr>
        <w:t>về việc ban hành Kế hoạch rà soát TTHC trọng tâm năm 201</w:t>
      </w:r>
      <w:r w:rsidR="00045BC7" w:rsidRPr="00B81CF4">
        <w:rPr>
          <w:szCs w:val="28"/>
        </w:rPr>
        <w:t>6</w:t>
      </w:r>
      <w:r w:rsidR="006C46DB" w:rsidRPr="00B81CF4">
        <w:rPr>
          <w:szCs w:val="28"/>
        </w:rPr>
        <w:t>; Công văn số 176/STP-KSTT ngày 02/4/2014 của Sở Tư pháp về thực hiện chế độ báo cáo công tác kiểm soát TTHC</w:t>
      </w:r>
      <w:r w:rsidRPr="00B81CF4">
        <w:rPr>
          <w:szCs w:val="28"/>
        </w:rPr>
        <w:t>.</w:t>
      </w:r>
    </w:p>
    <w:p w:rsidR="00EF4896" w:rsidRPr="00B81CF4" w:rsidRDefault="00EF4896" w:rsidP="00BA7AC7">
      <w:pPr>
        <w:spacing w:before="60" w:after="60"/>
        <w:ind w:firstLine="720"/>
        <w:jc w:val="both"/>
        <w:rPr>
          <w:spacing w:val="4"/>
          <w:szCs w:val="28"/>
        </w:rPr>
      </w:pPr>
      <w:r w:rsidRPr="00B81CF4">
        <w:rPr>
          <w:spacing w:val="4"/>
          <w:szCs w:val="28"/>
        </w:rPr>
        <w:t xml:space="preserve">Công tác </w:t>
      </w:r>
      <w:r w:rsidR="0018118C" w:rsidRPr="00B81CF4">
        <w:rPr>
          <w:spacing w:val="4"/>
          <w:szCs w:val="28"/>
        </w:rPr>
        <w:t>CCHC</w:t>
      </w:r>
      <w:r w:rsidRPr="00B81CF4">
        <w:rPr>
          <w:spacing w:val="4"/>
          <w:szCs w:val="28"/>
        </w:rPr>
        <w:t xml:space="preserve"> của Sở đã được triển khai thực hiện đồng bộ trên tất cả các nội dung của </w:t>
      </w:r>
      <w:r w:rsidR="0018118C" w:rsidRPr="00B81CF4">
        <w:rPr>
          <w:spacing w:val="4"/>
          <w:szCs w:val="28"/>
        </w:rPr>
        <w:t>CCHC</w:t>
      </w:r>
      <w:r w:rsidRPr="00B81CF4">
        <w:rPr>
          <w:spacing w:val="4"/>
          <w:szCs w:val="28"/>
        </w:rPr>
        <w:t xml:space="preserve"> và đã đạt được một số kết quả, đó là: </w:t>
      </w:r>
      <w:r w:rsidR="0018118C" w:rsidRPr="00B81CF4">
        <w:rPr>
          <w:spacing w:val="4"/>
          <w:szCs w:val="28"/>
        </w:rPr>
        <w:t>TTHC</w:t>
      </w:r>
      <w:r w:rsidRPr="00B81CF4">
        <w:rPr>
          <w:spacing w:val="4"/>
          <w:szCs w:val="28"/>
        </w:rPr>
        <w:t xml:space="preserve"> đã được minh bạch và tiếp tục được rà soát, đơn giản hoá góp phần tích cực vào việc giảm bớt phiền hà trong giải quyết công việc của công dân, tổ chức. Công tác rà soát cập nhật các văn bản sửa đổi, bổ sung quy định về TTHC theo Quyết định số 1005/QĐ-UBND ngày 22/10/2013 của UBND tỉnh đã được triển khai thực hiện theo đúng quy định.</w:t>
      </w:r>
    </w:p>
    <w:p w:rsidR="001E1E76" w:rsidRDefault="001E1E76" w:rsidP="001E1E76">
      <w:pPr>
        <w:spacing w:before="40" w:after="40"/>
        <w:ind w:firstLine="720"/>
        <w:jc w:val="both"/>
        <w:rPr>
          <w:bCs/>
          <w:szCs w:val="28"/>
          <w:lang w:val="fr-FR"/>
        </w:rPr>
      </w:pPr>
      <w:r w:rsidRPr="007B2FF0">
        <w:rPr>
          <w:szCs w:val="28"/>
        </w:rPr>
        <w:t>Thực hiện Quyết định số 05/2014/QĐ-UBND ngày 24/4/2014 của UBND tỉnh về việc sửa đổi, bổ sung, bãi bỏ một số điều, khoản của Quy chế công bố, công khai TTHC trên địa bàn tỉnh Gia Lai ban hành kèm theo Quyết định số 30/2013/QĐ-UBND ngày 01/10/2013 của UBND tỉnh;</w:t>
      </w:r>
      <w:r>
        <w:rPr>
          <w:szCs w:val="28"/>
        </w:rPr>
        <w:t xml:space="preserve"> </w:t>
      </w:r>
      <w:r w:rsidRPr="007B2FF0">
        <w:rPr>
          <w:bCs/>
          <w:szCs w:val="28"/>
          <w:lang w:val="fr-FR"/>
        </w:rPr>
        <w:t>Công văn số 1843/UBND-KT ngày 27/4/2016 của UBND tỉnh về tiến hành tr</w:t>
      </w:r>
      <w:r>
        <w:rPr>
          <w:bCs/>
          <w:szCs w:val="28"/>
          <w:lang w:val="fr-FR"/>
        </w:rPr>
        <w:t>iển khai phương án dịch vụ công; Công văn số 635/STP-KSTT ngày 05/8/2016 của Sở Tư pháp về việc đề nghị trình công bố thủ tục hành chính, trên cơ sở Quyết định số 1078/QĐ-BKHĐT ngày 26/7/2016 của Bộ Kế hoạch và Đầu tư về việc công bố thủ tục hành chính được sửa đổi, bổ sung mới, bãi bỏ thuộc phạm vi chức năng quản lý của Bộ Kế hoạch và Đầu tư, Theo đó Sở đã tiến hành triển khai xây dựng 04 bộ TTHC cấp tỉnh thuộc lĩnh vực PPP để trình Sở Tư pháp thẩm định trước khi trình UBND tỉnh công bố.</w:t>
      </w:r>
    </w:p>
    <w:p w:rsidR="001E1E76" w:rsidRPr="007B2FF0" w:rsidRDefault="001E1E76" w:rsidP="001E1E76">
      <w:pPr>
        <w:spacing w:before="40" w:after="40"/>
        <w:ind w:firstLine="720"/>
        <w:jc w:val="both"/>
        <w:rPr>
          <w:szCs w:val="28"/>
        </w:rPr>
      </w:pPr>
      <w:r w:rsidRPr="007B2FF0">
        <w:rPr>
          <w:bCs/>
          <w:szCs w:val="28"/>
          <w:lang w:val="fr-FR"/>
        </w:rPr>
        <w:t xml:space="preserve"> T</w:t>
      </w:r>
      <w:r w:rsidRPr="007B2FF0">
        <w:rPr>
          <w:szCs w:val="28"/>
        </w:rPr>
        <w:t xml:space="preserve">ính đến thời điểm hiện nay Sở có </w:t>
      </w:r>
      <w:r>
        <w:rPr>
          <w:szCs w:val="28"/>
        </w:rPr>
        <w:t>77 Bộ</w:t>
      </w:r>
      <w:r w:rsidRPr="007B2FF0">
        <w:rPr>
          <w:szCs w:val="28"/>
        </w:rPr>
        <w:t xml:space="preserve"> TTHC, cụ thể:</w:t>
      </w:r>
    </w:p>
    <w:p w:rsidR="001E1E76" w:rsidRPr="007B2FF0" w:rsidRDefault="001E1E76" w:rsidP="001E1E76">
      <w:pPr>
        <w:pStyle w:val="ListParagraph"/>
        <w:numPr>
          <w:ilvl w:val="0"/>
          <w:numId w:val="3"/>
        </w:numPr>
        <w:spacing w:before="40" w:after="40"/>
        <w:ind w:left="0" w:firstLine="360"/>
        <w:jc w:val="both"/>
        <w:rPr>
          <w:szCs w:val="28"/>
        </w:rPr>
      </w:pPr>
      <w:r>
        <w:rPr>
          <w:szCs w:val="28"/>
          <w:lang w:val="fr-FR"/>
        </w:rPr>
        <w:t>Lĩnh vực Đăng ký kinh doanh: 43</w:t>
      </w:r>
      <w:r w:rsidRPr="007B2FF0">
        <w:rPr>
          <w:szCs w:val="28"/>
          <w:lang w:val="fr-FR"/>
        </w:rPr>
        <w:t xml:space="preserve"> TT</w:t>
      </w:r>
      <w:r>
        <w:rPr>
          <w:szCs w:val="28"/>
          <w:lang w:val="fr-FR"/>
        </w:rPr>
        <w:t>HC (Đăng ký kinh doanh 27 TTHC và</w:t>
      </w:r>
      <w:r w:rsidRPr="007B2FF0">
        <w:rPr>
          <w:szCs w:val="28"/>
          <w:lang w:val="fr-FR"/>
        </w:rPr>
        <w:t xml:space="preserve"> Liên hiệp Hợp tác xã 16 TTHC);</w:t>
      </w:r>
    </w:p>
    <w:p w:rsidR="001E1E76" w:rsidRPr="007B2FF0" w:rsidRDefault="001E1E76" w:rsidP="001E1E76">
      <w:pPr>
        <w:pStyle w:val="ListParagraph"/>
        <w:numPr>
          <w:ilvl w:val="0"/>
          <w:numId w:val="3"/>
        </w:numPr>
        <w:spacing w:before="40" w:after="40"/>
        <w:ind w:left="0" w:firstLine="360"/>
        <w:jc w:val="both"/>
        <w:rPr>
          <w:szCs w:val="28"/>
        </w:rPr>
      </w:pPr>
      <w:r w:rsidRPr="007B2FF0">
        <w:rPr>
          <w:szCs w:val="28"/>
          <w:lang w:val="fr-FR"/>
        </w:rPr>
        <w:t>Lĩnh vực Chứng nhận đầu tư và Hỗ trợ ưu đãi đầu tư: 27 TTHC (</w:t>
      </w:r>
      <w:r w:rsidRPr="007B2FF0">
        <w:rPr>
          <w:szCs w:val="28"/>
        </w:rPr>
        <w:t>Chứng nhận đầu tư 25 TTHC và hỗ trợ Ưu đãi đầu tư 02 TTHC);</w:t>
      </w:r>
    </w:p>
    <w:p w:rsidR="001E1E76" w:rsidRPr="007B2FF0" w:rsidRDefault="001E1E76" w:rsidP="001E1E76">
      <w:pPr>
        <w:pStyle w:val="ListParagraph"/>
        <w:numPr>
          <w:ilvl w:val="0"/>
          <w:numId w:val="3"/>
        </w:numPr>
        <w:spacing w:before="40" w:after="40"/>
        <w:ind w:left="0" w:firstLine="360"/>
        <w:jc w:val="both"/>
        <w:rPr>
          <w:spacing w:val="-6"/>
          <w:szCs w:val="28"/>
        </w:rPr>
      </w:pPr>
      <w:r w:rsidRPr="007B2FF0">
        <w:rPr>
          <w:spacing w:val="-6"/>
          <w:szCs w:val="28"/>
          <w:lang w:val="fr-FR"/>
        </w:rPr>
        <w:t xml:space="preserve">Lĩnh vực </w:t>
      </w:r>
      <w:r w:rsidRPr="007B2FF0">
        <w:rPr>
          <w:spacing w:val="-6"/>
          <w:szCs w:val="28"/>
        </w:rPr>
        <w:t>Xây dựng cơ bản (phê duyệt KH đấu thầu và phê duyệt dự án): 07 TTHC.</w:t>
      </w:r>
    </w:p>
    <w:p w:rsidR="00485015" w:rsidRPr="00386837" w:rsidRDefault="001E1E76" w:rsidP="002E1561">
      <w:pPr>
        <w:spacing w:before="40" w:after="40"/>
        <w:ind w:firstLine="720"/>
        <w:jc w:val="both"/>
        <w:rPr>
          <w:color w:val="FF0000"/>
          <w:spacing w:val="2"/>
          <w:szCs w:val="28"/>
        </w:rPr>
      </w:pPr>
      <w:r>
        <w:rPr>
          <w:szCs w:val="28"/>
          <w:lang w:val="fr-FR"/>
        </w:rPr>
        <w:t>Ngoài ra hiện nay Sở đang tiến hành rà soát bổ sung</w:t>
      </w:r>
      <w:r w:rsidR="0045324D">
        <w:rPr>
          <w:szCs w:val="28"/>
          <w:lang w:val="fr-FR"/>
        </w:rPr>
        <w:t xml:space="preserve"> : </w:t>
      </w:r>
      <w:r>
        <w:rPr>
          <w:szCs w:val="28"/>
          <w:lang w:val="fr-FR"/>
        </w:rPr>
        <w:t>04 bộ TTHC mới thuộc lĩnh vực</w:t>
      </w:r>
      <w:r w:rsidR="0045324D">
        <w:rPr>
          <w:szCs w:val="28"/>
          <w:lang w:val="fr-FR"/>
        </w:rPr>
        <w:t xml:space="preserve"> dự án PPP đang gửi Sở Tư pháp thẩm định để trình UBND tỉnh công bố theo Quyết định 1078/QĐ-BKHĐT về việc công bố TTHC được sửa đổi, bổ sung mới, bãi </w:t>
      </w:r>
      <w:r w:rsidR="0045324D">
        <w:rPr>
          <w:szCs w:val="28"/>
          <w:lang w:val="fr-FR"/>
        </w:rPr>
        <w:lastRenderedPageBreak/>
        <w:t>bỏ thuộc phạm vi chức năng quản lý của Bộ Kế hoạch và Đầu tư;</w:t>
      </w:r>
      <w:r w:rsidR="002E1561" w:rsidRPr="00386837">
        <w:rPr>
          <w:bCs/>
          <w:color w:val="FF0000"/>
          <w:szCs w:val="28"/>
          <w:lang w:val="fr-FR"/>
        </w:rPr>
        <w:t xml:space="preserve"> </w:t>
      </w:r>
      <w:r w:rsidR="0045324D">
        <w:rPr>
          <w:bCs/>
          <w:color w:val="FF0000"/>
          <w:szCs w:val="28"/>
          <w:lang w:val="fr-FR"/>
        </w:rPr>
        <w:t>B</w:t>
      </w:r>
      <w:r w:rsidR="002E1561" w:rsidRPr="00386837">
        <w:rPr>
          <w:bCs/>
          <w:color w:val="FF0000"/>
          <w:szCs w:val="28"/>
          <w:lang w:val="fr-FR"/>
        </w:rPr>
        <w:t>ổ sung mới</w:t>
      </w:r>
      <w:r w:rsidR="0045324D">
        <w:rPr>
          <w:bCs/>
          <w:color w:val="FF0000"/>
          <w:szCs w:val="28"/>
          <w:lang w:val="fr-FR"/>
        </w:rPr>
        <w:t xml:space="preserve"> 04 bộ</w:t>
      </w:r>
      <w:r w:rsidR="002E1561" w:rsidRPr="00386837">
        <w:rPr>
          <w:bCs/>
          <w:color w:val="FF0000"/>
          <w:szCs w:val="28"/>
          <w:lang w:val="fr-FR"/>
        </w:rPr>
        <w:t xml:space="preserve"> thủ tục hành chính thuộc lĩnh vực Đăng ký kinh doanh</w:t>
      </w:r>
      <w:r w:rsidR="0045324D">
        <w:rPr>
          <w:bCs/>
          <w:color w:val="FF0000"/>
          <w:szCs w:val="28"/>
          <w:lang w:val="fr-FR"/>
        </w:rPr>
        <w:t xml:space="preserve"> thành lập và hoạt động Doanh nghiệp xã hội</w:t>
      </w:r>
      <w:r w:rsidR="002E1561" w:rsidRPr="00386837">
        <w:rPr>
          <w:bCs/>
          <w:color w:val="FF0000"/>
          <w:szCs w:val="28"/>
          <w:lang w:val="fr-FR"/>
        </w:rPr>
        <w:t xml:space="preserve"> theo </w:t>
      </w:r>
      <w:r w:rsidR="002E1561" w:rsidRPr="00386837">
        <w:rPr>
          <w:color w:val="FF0000"/>
          <w:szCs w:val="28"/>
        </w:rPr>
        <w:t>Quyết định số 1574/QĐ-BKHĐT ngày 28/10/2016 của Bộ Kế hoạch và Đầu tư về việc công bố thủ tục hành chính mới ban hành thuộc phạm vi chức năng qu</w:t>
      </w:r>
      <w:r w:rsidR="0045324D">
        <w:rPr>
          <w:color w:val="FF0000"/>
          <w:szCs w:val="28"/>
        </w:rPr>
        <w:t>ản lý của Bộ Kế hoạch và Đầu tư.</w:t>
      </w:r>
      <w:r w:rsidR="002E1561" w:rsidRPr="00386837">
        <w:rPr>
          <w:color w:val="FF0000"/>
          <w:szCs w:val="28"/>
        </w:rPr>
        <w:t xml:space="preserve"> </w:t>
      </w:r>
      <w:r w:rsidR="0045324D">
        <w:rPr>
          <w:color w:val="FF0000"/>
          <w:szCs w:val="28"/>
        </w:rPr>
        <w:t>T</w:t>
      </w:r>
      <w:r w:rsidR="002E1561" w:rsidRPr="00386837">
        <w:rPr>
          <w:bCs/>
          <w:color w:val="FF0000"/>
          <w:szCs w:val="28"/>
          <w:lang w:val="fr-FR"/>
        </w:rPr>
        <w:t>rình Sở Tư pháp thẩm định trước khi trình UBND tỉnh công bố.</w:t>
      </w:r>
    </w:p>
    <w:p w:rsidR="00EF4896" w:rsidRPr="00B81CF4" w:rsidRDefault="00EF4896" w:rsidP="00CD7707">
      <w:pPr>
        <w:jc w:val="both"/>
        <w:rPr>
          <w:b/>
          <w:szCs w:val="28"/>
        </w:rPr>
      </w:pPr>
      <w:r w:rsidRPr="00B81CF4">
        <w:rPr>
          <w:b/>
          <w:szCs w:val="28"/>
        </w:rPr>
        <w:tab/>
        <w:t>2. Công tác công khai TTHC, niêm yết công khai thông tin tiếp nhận phản ánh, kiến nghị về quy định hành chính:</w:t>
      </w:r>
    </w:p>
    <w:p w:rsidR="00EF4896" w:rsidRPr="00B81CF4" w:rsidRDefault="00EF4896" w:rsidP="00CD7707">
      <w:pPr>
        <w:ind w:firstLine="720"/>
        <w:jc w:val="both"/>
        <w:rPr>
          <w:b/>
          <w:i/>
          <w:szCs w:val="28"/>
        </w:rPr>
      </w:pPr>
      <w:r w:rsidRPr="00B81CF4">
        <w:rPr>
          <w:b/>
          <w:i/>
          <w:szCs w:val="28"/>
        </w:rPr>
        <w:t xml:space="preserve">2.1. Công khai thủ tục hành chính: </w:t>
      </w:r>
    </w:p>
    <w:p w:rsidR="00EF4896" w:rsidRPr="00A150B9" w:rsidRDefault="00EF4896" w:rsidP="00BA7AC7">
      <w:pPr>
        <w:spacing w:before="120" w:after="120"/>
        <w:ind w:firstLine="720"/>
        <w:jc w:val="both"/>
        <w:rPr>
          <w:spacing w:val="2"/>
          <w:szCs w:val="28"/>
        </w:rPr>
      </w:pPr>
      <w:r w:rsidRPr="00A150B9">
        <w:rPr>
          <w:spacing w:val="2"/>
          <w:szCs w:val="28"/>
        </w:rPr>
        <w:t xml:space="preserve">Các TTHC, mẫu đơn, phí, lệ phí tại Sở Kế hoạch và Đầu tư được niêm yết ở vị trí sảnh tầng trệt của Sở, tạo điều kiện thuận lợi, dễ tiếp cận và tra cứu thông tin TTHC; nội dung niêm yết rõ ràng, đầy đủ, chính xác, công khai giúp cho tổ chức và cá nhân dễ dàng tra cứu tiếp cận. Số lượng TTHC được niêm yết công khai theo đúng quy trình, quy định. </w:t>
      </w:r>
    </w:p>
    <w:p w:rsidR="00EF4896" w:rsidRDefault="00984784" w:rsidP="00EF4896">
      <w:pPr>
        <w:spacing w:before="120" w:after="120"/>
        <w:ind w:firstLine="720"/>
        <w:jc w:val="both"/>
        <w:rPr>
          <w:i/>
          <w:spacing w:val="2"/>
          <w:szCs w:val="28"/>
        </w:rPr>
      </w:pPr>
      <w:r>
        <w:rPr>
          <w:spacing w:val="2"/>
          <w:szCs w:val="28"/>
        </w:rPr>
        <w:t>B</w:t>
      </w:r>
      <w:r w:rsidR="00EF4896" w:rsidRPr="00A150B9">
        <w:rPr>
          <w:spacing w:val="2"/>
          <w:szCs w:val="28"/>
        </w:rPr>
        <w:t xml:space="preserve">ộ phận </w:t>
      </w:r>
      <w:r w:rsidR="00BA7AC7">
        <w:rPr>
          <w:spacing w:val="2"/>
          <w:szCs w:val="28"/>
        </w:rPr>
        <w:t xml:space="preserve">“một cửa”, “một cửa liên </w:t>
      </w:r>
      <w:r w:rsidR="00736DDB">
        <w:rPr>
          <w:spacing w:val="2"/>
          <w:szCs w:val="28"/>
        </w:rPr>
        <w:t>thông” của Sở đã triển khai theo đúng quy định tại</w:t>
      </w:r>
      <w:r w:rsidR="00BA7AC7">
        <w:rPr>
          <w:spacing w:val="2"/>
          <w:szCs w:val="28"/>
        </w:rPr>
        <w:t xml:space="preserve"> Quyết định</w:t>
      </w:r>
      <w:r w:rsidR="00736DDB">
        <w:rPr>
          <w:spacing w:val="2"/>
          <w:szCs w:val="28"/>
        </w:rPr>
        <w:t xml:space="preserve"> số</w:t>
      </w:r>
      <w:r w:rsidR="00BA7AC7">
        <w:rPr>
          <w:spacing w:val="2"/>
          <w:szCs w:val="28"/>
        </w:rPr>
        <w:t xml:space="preserve"> 09/2015/QĐ-TT</w:t>
      </w:r>
      <w:r w:rsidR="00736DDB">
        <w:rPr>
          <w:spacing w:val="2"/>
          <w:szCs w:val="28"/>
        </w:rPr>
        <w:t xml:space="preserve">g. </w:t>
      </w:r>
      <w:r w:rsidR="00736DDB" w:rsidRPr="001A43AA">
        <w:rPr>
          <w:color w:val="FF0000"/>
          <w:spacing w:val="2"/>
          <w:szCs w:val="28"/>
        </w:rPr>
        <w:t>Công tác tiếp nhận và chuyển trả hồ sơ thuộc Lĩnh vực đầu tư</w:t>
      </w:r>
      <w:r w:rsidR="00BA7AC7" w:rsidRPr="001A43AA">
        <w:rPr>
          <w:color w:val="FF0000"/>
          <w:spacing w:val="2"/>
          <w:szCs w:val="28"/>
        </w:rPr>
        <w:t xml:space="preserve"> và lĩnh vực </w:t>
      </w:r>
      <w:r w:rsidR="00736DDB" w:rsidRPr="001A43AA">
        <w:rPr>
          <w:color w:val="FF0000"/>
          <w:spacing w:val="2"/>
          <w:szCs w:val="28"/>
        </w:rPr>
        <w:t xml:space="preserve">xây dựng cơ bản </w:t>
      </w:r>
      <w:r w:rsidR="00BA7AC7" w:rsidRPr="001A43AA">
        <w:rPr>
          <w:color w:val="FF0000"/>
          <w:spacing w:val="2"/>
          <w:szCs w:val="28"/>
        </w:rPr>
        <w:t>đã được triển khai trên hệ thống</w:t>
      </w:r>
      <w:r w:rsidR="00736DDB" w:rsidRPr="001A43AA">
        <w:rPr>
          <w:color w:val="FF0000"/>
          <w:spacing w:val="2"/>
          <w:szCs w:val="28"/>
        </w:rPr>
        <w:t xml:space="preserve"> một cửa điện tử riêng lĩnh vực Đăng ký kinh doanh ( gồm 43 TTHC) được thực hiện qua hệ thống đăng ký kinh doanh quốc gia</w:t>
      </w:r>
      <w:r w:rsidR="00CE7E3C" w:rsidRPr="001A43AA">
        <w:rPr>
          <w:color w:val="FF0000"/>
          <w:spacing w:val="2"/>
          <w:szCs w:val="28"/>
        </w:rPr>
        <w:t xml:space="preserve"> áp dụng thống nhất cho cả nước</w:t>
      </w:r>
      <w:r w:rsidR="00CE7E3C">
        <w:rPr>
          <w:spacing w:val="2"/>
          <w:szCs w:val="28"/>
        </w:rPr>
        <w:t xml:space="preserve">. </w:t>
      </w:r>
      <w:r w:rsidR="00EF4896" w:rsidRPr="00A150B9">
        <w:rPr>
          <w:spacing w:val="2"/>
          <w:szCs w:val="28"/>
        </w:rPr>
        <w:t>Ngoài ra, Sở đăng tải quy trình TTHC theo quyết định đã công bố của UBND tỉnh trên trang thông tin điện tử của Sở:</w:t>
      </w:r>
      <w:r w:rsidR="00EF4896" w:rsidRPr="00A150B9">
        <w:rPr>
          <w:i/>
          <w:spacing w:val="2"/>
          <w:szCs w:val="28"/>
        </w:rPr>
        <w:t xml:space="preserve"> </w:t>
      </w:r>
      <w:hyperlink r:id="rId7" w:history="1">
        <w:r w:rsidRPr="00A246C1">
          <w:rPr>
            <w:rStyle w:val="Hyperlink"/>
            <w:i/>
            <w:spacing w:val="2"/>
            <w:szCs w:val="28"/>
          </w:rPr>
          <w:t>www.skhdt.gialai.gov.vn</w:t>
        </w:r>
      </w:hyperlink>
      <w:r w:rsidR="00EF4896" w:rsidRPr="00A150B9">
        <w:rPr>
          <w:i/>
          <w:spacing w:val="2"/>
          <w:szCs w:val="28"/>
        </w:rPr>
        <w:t>.</w:t>
      </w:r>
    </w:p>
    <w:p w:rsidR="00EC2AB6" w:rsidRDefault="00EC2AB6" w:rsidP="00EF4896">
      <w:pPr>
        <w:spacing w:before="120" w:after="120"/>
        <w:ind w:firstLine="720"/>
        <w:jc w:val="both"/>
        <w:rPr>
          <w:color w:val="FF0000"/>
          <w:spacing w:val="2"/>
          <w:szCs w:val="28"/>
        </w:rPr>
      </w:pPr>
      <w:r>
        <w:rPr>
          <w:color w:val="FF0000"/>
          <w:spacing w:val="2"/>
          <w:szCs w:val="28"/>
        </w:rPr>
        <w:t>Xây dựng Quy chế xin lỗi công dân, tổ chức do sai sót trễ hẹn hồ sơ, TTHC tại bộ phận tiếp nhận và trả kết quả theo cơ chế một cửa, một cửa liên thông đã được triển khai nghiêm túc và đến thời điểm hiện tại không có trường hợp nào trễ hẹn phải xin lỗi tổ chức, công dân.</w:t>
      </w:r>
    </w:p>
    <w:p w:rsidR="00984784" w:rsidRPr="001A43AA" w:rsidRDefault="00984784" w:rsidP="00EF4896">
      <w:pPr>
        <w:spacing w:before="120" w:after="120"/>
        <w:ind w:firstLine="720"/>
        <w:jc w:val="both"/>
        <w:rPr>
          <w:color w:val="FF0000"/>
          <w:spacing w:val="2"/>
          <w:szCs w:val="28"/>
        </w:rPr>
      </w:pPr>
      <w:r w:rsidRPr="001A43AA">
        <w:rPr>
          <w:color w:val="FF0000"/>
          <w:spacing w:val="2"/>
          <w:szCs w:val="28"/>
        </w:rPr>
        <w:t>Hiện nay Sở đang phối hợp cùng Sở Thông tin và Truyền thông xây dựng phần mềm dịch vụ công trực tuyến mức độ 3,4 nhằm tạo điều kiện thuận lợi cho doanh nghiệp nộp hồ sơ trực tuyến qua mạng, số TTHC dự kiến đưa vào phần mềm dịch vụ công trực tuyến là 34 bộ TTHC (27 bộ TTHC thuộc lĩnh vực Chứng nhận đầu tư; 07 bộ TTHC thuộc lĩnh vực xây dựng cơ bản).</w:t>
      </w:r>
    </w:p>
    <w:p w:rsidR="00EF4896" w:rsidRPr="00B81CF4" w:rsidRDefault="00EF4896" w:rsidP="00EF4896">
      <w:pPr>
        <w:spacing w:before="120" w:after="120"/>
        <w:ind w:firstLine="720"/>
        <w:jc w:val="both"/>
        <w:rPr>
          <w:b/>
          <w:i/>
          <w:szCs w:val="28"/>
        </w:rPr>
      </w:pPr>
      <w:r w:rsidRPr="00CE7E3C">
        <w:rPr>
          <w:b/>
          <w:i/>
          <w:color w:val="FF0000"/>
          <w:szCs w:val="28"/>
        </w:rPr>
        <w:t>2.</w:t>
      </w:r>
      <w:r w:rsidRPr="00B81CF4">
        <w:rPr>
          <w:b/>
          <w:i/>
          <w:szCs w:val="28"/>
        </w:rPr>
        <w:t>2. Việc tiếp nhận, xử lý phản ảnh, kiến nghị về quy định hành chính:</w:t>
      </w:r>
    </w:p>
    <w:p w:rsidR="00EF4896" w:rsidRPr="00A150B9" w:rsidRDefault="00EF4896" w:rsidP="00EF4896">
      <w:pPr>
        <w:spacing w:before="120" w:after="120"/>
        <w:ind w:firstLine="720"/>
        <w:jc w:val="both"/>
        <w:rPr>
          <w:spacing w:val="2"/>
          <w:szCs w:val="28"/>
        </w:rPr>
      </w:pPr>
      <w:r w:rsidRPr="00A150B9">
        <w:rPr>
          <w:spacing w:val="2"/>
          <w:szCs w:val="28"/>
        </w:rPr>
        <w:t xml:space="preserve">Sở Kế hoạch và Đầu tư đã công bố công khai địa chỉ, thông tin về công tác tiếp nhận, xử lý phản ánh, kiến nghị về quy định hành chính tại nơi tiếp nhận và trả kết quả. </w:t>
      </w:r>
      <w:r w:rsidR="006F5176">
        <w:rPr>
          <w:spacing w:val="2"/>
          <w:szCs w:val="28"/>
        </w:rPr>
        <w:t>Sở đã niêm yết số điện thoại của Giám đốc Sở và một số bộ phận liên quan để nhận, xử lý thông tin phản ánh. Tuy nhiên, t</w:t>
      </w:r>
      <w:r w:rsidRPr="00A150B9">
        <w:rPr>
          <w:spacing w:val="2"/>
          <w:szCs w:val="28"/>
        </w:rPr>
        <w:t xml:space="preserve">ính tới thời điểm hiện nay Sở chưa nhận được phản ánh, kiến nghị của tổ chức, công dân về quy định hành chính. </w:t>
      </w:r>
      <w:r w:rsidR="00386837" w:rsidRPr="00386837">
        <w:rPr>
          <w:color w:val="FF0000"/>
          <w:spacing w:val="2"/>
          <w:szCs w:val="28"/>
        </w:rPr>
        <w:t>Ngoài ra hiện nay Sở đang tiến hành mua sắm một số máy móc, thiết bị phục vụ cho việc triển khai phần mềm đánh giá sự hài lòng của người dân, tổ chức đối với cán bộ, công chức và cơ quan tại bộ phận ti</w:t>
      </w:r>
      <w:r w:rsidR="00B4170D">
        <w:rPr>
          <w:color w:val="FF0000"/>
          <w:spacing w:val="2"/>
          <w:szCs w:val="28"/>
        </w:rPr>
        <w:t>ếp nhận và trả kết quả</w:t>
      </w:r>
      <w:r w:rsidR="00386837" w:rsidRPr="00386837">
        <w:rPr>
          <w:color w:val="FF0000"/>
          <w:spacing w:val="2"/>
          <w:szCs w:val="28"/>
        </w:rPr>
        <w:t xml:space="preserve"> theo công văn số 899/STTTT-CNTT ngày 17/10/2016 của Sở Thông tin và Truyền thông</w:t>
      </w:r>
      <w:r w:rsidR="00386837">
        <w:rPr>
          <w:spacing w:val="2"/>
          <w:szCs w:val="28"/>
        </w:rPr>
        <w:t xml:space="preserve">. </w:t>
      </w:r>
      <w:r w:rsidRPr="00A150B9">
        <w:rPr>
          <w:spacing w:val="2"/>
          <w:szCs w:val="28"/>
        </w:rPr>
        <w:t>Công tác thông tin, báo cáo về công tác kiểm soát TTHC định kỳ hàng quý</w:t>
      </w:r>
      <w:r w:rsidR="00A41743">
        <w:rPr>
          <w:spacing w:val="2"/>
          <w:szCs w:val="28"/>
        </w:rPr>
        <w:t>, 6 tháng và cuối năm</w:t>
      </w:r>
      <w:r w:rsidRPr="00A150B9">
        <w:rPr>
          <w:spacing w:val="2"/>
          <w:szCs w:val="28"/>
        </w:rPr>
        <w:t xml:space="preserve"> được thực hiện nghiêm túc</w:t>
      </w:r>
      <w:r w:rsidR="00A41743">
        <w:rPr>
          <w:spacing w:val="2"/>
          <w:szCs w:val="28"/>
        </w:rPr>
        <w:t>, đầy đủ</w:t>
      </w:r>
      <w:r w:rsidRPr="00A150B9">
        <w:rPr>
          <w:spacing w:val="2"/>
          <w:szCs w:val="28"/>
        </w:rPr>
        <w:t>.</w:t>
      </w:r>
    </w:p>
    <w:p w:rsidR="00AE3DB8" w:rsidRDefault="00AE3DB8" w:rsidP="00EF4896">
      <w:pPr>
        <w:spacing w:before="120" w:after="120"/>
        <w:ind w:firstLine="720"/>
        <w:rPr>
          <w:b/>
          <w:szCs w:val="28"/>
        </w:rPr>
      </w:pPr>
    </w:p>
    <w:p w:rsidR="00AE3DB8" w:rsidRDefault="00AE3DB8" w:rsidP="00EF4896">
      <w:pPr>
        <w:spacing w:before="120" w:after="120"/>
        <w:ind w:firstLine="720"/>
        <w:rPr>
          <w:b/>
          <w:szCs w:val="28"/>
        </w:rPr>
      </w:pPr>
    </w:p>
    <w:p w:rsidR="00EF4896" w:rsidRPr="00B81CF4" w:rsidRDefault="00EF4896" w:rsidP="00EF4896">
      <w:pPr>
        <w:spacing w:before="120" w:after="120"/>
        <w:ind w:firstLine="720"/>
        <w:rPr>
          <w:b/>
          <w:szCs w:val="28"/>
        </w:rPr>
      </w:pPr>
      <w:r w:rsidRPr="00B81CF4">
        <w:rPr>
          <w:b/>
          <w:szCs w:val="28"/>
        </w:rPr>
        <w:lastRenderedPageBreak/>
        <w:t>3. Công tác giải quyết TTHC:</w:t>
      </w:r>
    </w:p>
    <w:p w:rsidR="00BC17BD" w:rsidRPr="00A150B9" w:rsidRDefault="00EF4896" w:rsidP="00BC17BD">
      <w:pPr>
        <w:spacing w:before="120" w:after="120"/>
        <w:ind w:firstLine="720"/>
        <w:jc w:val="both"/>
        <w:rPr>
          <w:spacing w:val="2"/>
          <w:szCs w:val="28"/>
        </w:rPr>
      </w:pPr>
      <w:r w:rsidRPr="00A150B9">
        <w:rPr>
          <w:spacing w:val="2"/>
          <w:szCs w:val="28"/>
        </w:rPr>
        <w:t xml:space="preserve">Kết quả giải quyết Thủ tục hành chính </w:t>
      </w:r>
      <w:r w:rsidR="00521C6E">
        <w:rPr>
          <w:spacing w:val="2"/>
          <w:szCs w:val="28"/>
        </w:rPr>
        <w:t>tính đến ngày 31</w:t>
      </w:r>
      <w:r w:rsidR="00220138">
        <w:rPr>
          <w:spacing w:val="2"/>
          <w:szCs w:val="28"/>
        </w:rPr>
        <w:t>/</w:t>
      </w:r>
      <w:r w:rsidR="00521C6E">
        <w:rPr>
          <w:spacing w:val="2"/>
          <w:szCs w:val="28"/>
        </w:rPr>
        <w:t>10</w:t>
      </w:r>
      <w:r w:rsidR="00220138">
        <w:rPr>
          <w:spacing w:val="2"/>
          <w:szCs w:val="28"/>
        </w:rPr>
        <w:t>/</w:t>
      </w:r>
      <w:r w:rsidRPr="00A150B9">
        <w:rPr>
          <w:spacing w:val="2"/>
          <w:szCs w:val="28"/>
        </w:rPr>
        <w:t>201</w:t>
      </w:r>
      <w:r w:rsidR="00F56840" w:rsidRPr="00A150B9">
        <w:rPr>
          <w:spacing w:val="2"/>
          <w:szCs w:val="28"/>
        </w:rPr>
        <w:t>6</w:t>
      </w:r>
      <w:r w:rsidR="003118E6">
        <w:rPr>
          <w:spacing w:val="2"/>
          <w:szCs w:val="28"/>
        </w:rPr>
        <w:t xml:space="preserve"> và ước thực hiện đến ngày 31/12/2016: T</w:t>
      </w:r>
      <w:r w:rsidRPr="00A150B9">
        <w:rPr>
          <w:spacing w:val="2"/>
          <w:szCs w:val="28"/>
        </w:rPr>
        <w:t>ổng số</w:t>
      </w:r>
      <w:r w:rsidR="003118E6">
        <w:rPr>
          <w:spacing w:val="2"/>
          <w:szCs w:val="28"/>
        </w:rPr>
        <w:t xml:space="preserve"> hồ sơ nhận vào là</w:t>
      </w:r>
      <w:r w:rsidRPr="00A150B9">
        <w:rPr>
          <w:spacing w:val="2"/>
          <w:szCs w:val="28"/>
        </w:rPr>
        <w:t xml:space="preserve"> </w:t>
      </w:r>
      <w:r w:rsidR="00521C6E">
        <w:rPr>
          <w:spacing w:val="2"/>
          <w:szCs w:val="28"/>
        </w:rPr>
        <w:t>3987</w:t>
      </w:r>
      <w:r w:rsidRPr="00A150B9">
        <w:rPr>
          <w:spacing w:val="2"/>
          <w:szCs w:val="28"/>
        </w:rPr>
        <w:t xml:space="preserve"> hồ sơ, trong đó có </w:t>
      </w:r>
      <w:r w:rsidR="00521C6E">
        <w:rPr>
          <w:spacing w:val="2"/>
          <w:szCs w:val="28"/>
        </w:rPr>
        <w:t>07</w:t>
      </w:r>
      <w:r w:rsidRPr="00A150B9">
        <w:rPr>
          <w:spacing w:val="2"/>
          <w:szCs w:val="28"/>
        </w:rPr>
        <w:t xml:space="preserve"> hồ sơ kỳ trước chuyển qua và </w:t>
      </w:r>
      <w:r w:rsidR="00521C6E">
        <w:rPr>
          <w:spacing w:val="2"/>
          <w:szCs w:val="28"/>
        </w:rPr>
        <w:t>3980</w:t>
      </w:r>
      <w:r w:rsidRPr="00A150B9">
        <w:rPr>
          <w:spacing w:val="2"/>
          <w:szCs w:val="28"/>
        </w:rPr>
        <w:t xml:space="preserve"> hồ sơ mới. Đã giải quyết </w:t>
      </w:r>
      <w:r w:rsidR="00521C6E">
        <w:rPr>
          <w:spacing w:val="2"/>
          <w:szCs w:val="28"/>
        </w:rPr>
        <w:t>3944</w:t>
      </w:r>
      <w:r w:rsidRPr="00A150B9">
        <w:rPr>
          <w:spacing w:val="2"/>
          <w:szCs w:val="28"/>
        </w:rPr>
        <w:t xml:space="preserve"> hồ sơ, trả đúng hạn </w:t>
      </w:r>
      <w:r w:rsidR="00521C6E">
        <w:rPr>
          <w:spacing w:val="2"/>
          <w:szCs w:val="28"/>
        </w:rPr>
        <w:t>3944</w:t>
      </w:r>
      <w:r w:rsidRPr="00A150B9">
        <w:rPr>
          <w:spacing w:val="2"/>
          <w:szCs w:val="28"/>
        </w:rPr>
        <w:t xml:space="preserve"> hồ sơ, đạt </w:t>
      </w:r>
      <w:r w:rsidR="008720E4" w:rsidRPr="00A150B9">
        <w:rPr>
          <w:spacing w:val="2"/>
          <w:szCs w:val="28"/>
        </w:rPr>
        <w:t>100</w:t>
      </w:r>
      <w:r w:rsidRPr="00A150B9">
        <w:rPr>
          <w:spacing w:val="2"/>
          <w:szCs w:val="28"/>
        </w:rPr>
        <w:t xml:space="preserve">%; đang giải quyết </w:t>
      </w:r>
      <w:r w:rsidR="00521C6E">
        <w:rPr>
          <w:spacing w:val="2"/>
          <w:szCs w:val="28"/>
        </w:rPr>
        <w:t>43</w:t>
      </w:r>
      <w:r w:rsidRPr="00A150B9">
        <w:rPr>
          <w:spacing w:val="2"/>
          <w:szCs w:val="28"/>
        </w:rPr>
        <w:t xml:space="preserve"> hồ sơ, chưa đến hạn </w:t>
      </w:r>
      <w:r w:rsidR="00521C6E">
        <w:rPr>
          <w:spacing w:val="2"/>
          <w:szCs w:val="28"/>
        </w:rPr>
        <w:t>43</w:t>
      </w:r>
      <w:r w:rsidRPr="00A150B9">
        <w:rPr>
          <w:spacing w:val="2"/>
          <w:szCs w:val="28"/>
        </w:rPr>
        <w:t xml:space="preserve"> </w:t>
      </w:r>
      <w:r w:rsidR="00220138">
        <w:rPr>
          <w:spacing w:val="2"/>
          <w:szCs w:val="28"/>
        </w:rPr>
        <w:t>hồ sơ và</w:t>
      </w:r>
      <w:r w:rsidR="00521C6E">
        <w:rPr>
          <w:spacing w:val="2"/>
          <w:szCs w:val="28"/>
        </w:rPr>
        <w:t xml:space="preserve"> không có hồ sơ quá hạn, cụ thể</w:t>
      </w:r>
      <w:r w:rsidR="00220138">
        <w:rPr>
          <w:spacing w:val="2"/>
          <w:szCs w:val="28"/>
        </w:rPr>
        <w:t>:</w:t>
      </w:r>
    </w:p>
    <w:p w:rsidR="00BC17BD" w:rsidRPr="00A150B9" w:rsidRDefault="00EF4896" w:rsidP="00BC17BD">
      <w:pPr>
        <w:pStyle w:val="ListParagraph"/>
        <w:numPr>
          <w:ilvl w:val="0"/>
          <w:numId w:val="5"/>
        </w:numPr>
        <w:spacing w:before="120" w:after="120"/>
        <w:ind w:left="0" w:firstLine="360"/>
        <w:jc w:val="both"/>
        <w:rPr>
          <w:spacing w:val="2"/>
          <w:szCs w:val="28"/>
        </w:rPr>
      </w:pPr>
      <w:r w:rsidRPr="00A150B9">
        <w:rPr>
          <w:spacing w:val="2"/>
          <w:szCs w:val="28"/>
        </w:rPr>
        <w:t xml:space="preserve">Cấp giấy chứng nhận đăng ký kinh doanh: Tổng số hồ sơ nhận vào </w:t>
      </w:r>
      <w:r w:rsidR="00CB454A">
        <w:rPr>
          <w:spacing w:val="2"/>
          <w:szCs w:val="28"/>
        </w:rPr>
        <w:t>3527</w:t>
      </w:r>
      <w:r w:rsidRPr="00A150B9">
        <w:rPr>
          <w:spacing w:val="2"/>
          <w:szCs w:val="28"/>
        </w:rPr>
        <w:t xml:space="preserve"> hồ sơ</w:t>
      </w:r>
      <w:r w:rsidR="00CB454A">
        <w:rPr>
          <w:spacing w:val="2"/>
          <w:szCs w:val="28"/>
        </w:rPr>
        <w:t>, trong đó có 07 hồ sơ kỳ trước chuyển sang và 3520 hồ sơ</w:t>
      </w:r>
      <w:r w:rsidRPr="00A150B9">
        <w:rPr>
          <w:spacing w:val="2"/>
          <w:szCs w:val="28"/>
        </w:rPr>
        <w:t xml:space="preserve"> mới, trong đó: đã giải quyết </w:t>
      </w:r>
      <w:r w:rsidR="00CB454A">
        <w:rPr>
          <w:spacing w:val="2"/>
          <w:szCs w:val="28"/>
        </w:rPr>
        <w:t>3521</w:t>
      </w:r>
      <w:r w:rsidRPr="00A150B9">
        <w:rPr>
          <w:spacing w:val="2"/>
          <w:szCs w:val="28"/>
        </w:rPr>
        <w:t xml:space="preserve"> hồ sơ, trả đúng hạn </w:t>
      </w:r>
      <w:r w:rsidR="00CB454A">
        <w:rPr>
          <w:spacing w:val="2"/>
          <w:szCs w:val="28"/>
        </w:rPr>
        <w:t>3521</w:t>
      </w:r>
      <w:r w:rsidRPr="00A150B9">
        <w:rPr>
          <w:spacing w:val="2"/>
          <w:szCs w:val="28"/>
        </w:rPr>
        <w:t xml:space="preserve"> hồ sơ</w:t>
      </w:r>
      <w:r w:rsidR="008720E4" w:rsidRPr="00A150B9">
        <w:rPr>
          <w:spacing w:val="2"/>
          <w:szCs w:val="28"/>
        </w:rPr>
        <w:t>, không có</w:t>
      </w:r>
      <w:r w:rsidRPr="00A150B9">
        <w:rPr>
          <w:spacing w:val="2"/>
          <w:szCs w:val="28"/>
        </w:rPr>
        <w:t xml:space="preserve"> hồ sơ quá hạn; đang giải quyết </w:t>
      </w:r>
      <w:r w:rsidR="00CB454A">
        <w:rPr>
          <w:spacing w:val="2"/>
          <w:szCs w:val="28"/>
        </w:rPr>
        <w:t>06</w:t>
      </w:r>
      <w:r w:rsidRPr="00A150B9">
        <w:rPr>
          <w:spacing w:val="2"/>
          <w:szCs w:val="28"/>
        </w:rPr>
        <w:t xml:space="preserve"> hồ sơ, chưa đến hạn </w:t>
      </w:r>
      <w:r w:rsidR="00CB454A">
        <w:rPr>
          <w:spacing w:val="2"/>
          <w:szCs w:val="28"/>
        </w:rPr>
        <w:t>06</w:t>
      </w:r>
      <w:r w:rsidRPr="00A150B9">
        <w:rPr>
          <w:spacing w:val="2"/>
          <w:szCs w:val="28"/>
        </w:rPr>
        <w:t xml:space="preserve"> hồ sơ.</w:t>
      </w:r>
    </w:p>
    <w:p w:rsidR="00BC17BD" w:rsidRPr="00A150B9" w:rsidRDefault="00EF4896" w:rsidP="00BC17BD">
      <w:pPr>
        <w:pStyle w:val="ListParagraph"/>
        <w:numPr>
          <w:ilvl w:val="0"/>
          <w:numId w:val="5"/>
        </w:numPr>
        <w:spacing w:before="120" w:after="120"/>
        <w:ind w:left="0" w:firstLine="360"/>
        <w:jc w:val="both"/>
        <w:rPr>
          <w:spacing w:val="2"/>
          <w:szCs w:val="28"/>
        </w:rPr>
      </w:pPr>
      <w:r w:rsidRPr="00A150B9">
        <w:rPr>
          <w:spacing w:val="2"/>
          <w:szCs w:val="28"/>
        </w:rPr>
        <w:t xml:space="preserve">Cấp giấy chứng nhận đầu tư: Tổng số hồ sơ nhận vào </w:t>
      </w:r>
      <w:r w:rsidR="00CB454A">
        <w:rPr>
          <w:spacing w:val="2"/>
          <w:szCs w:val="28"/>
        </w:rPr>
        <w:t>25</w:t>
      </w:r>
      <w:r w:rsidRPr="00A150B9">
        <w:rPr>
          <w:spacing w:val="2"/>
          <w:szCs w:val="28"/>
        </w:rPr>
        <w:t xml:space="preserve"> hồ sơ mới (không có kỳ trước chuyển qua), trong đó: đã giải quyết </w:t>
      </w:r>
      <w:r w:rsidR="00CB454A">
        <w:rPr>
          <w:spacing w:val="2"/>
          <w:szCs w:val="28"/>
        </w:rPr>
        <w:t>19</w:t>
      </w:r>
      <w:r w:rsidRPr="00A150B9">
        <w:rPr>
          <w:spacing w:val="2"/>
          <w:szCs w:val="28"/>
        </w:rPr>
        <w:t xml:space="preserve"> hồ sơ, trả đúng hạn </w:t>
      </w:r>
      <w:r w:rsidR="00CB454A">
        <w:rPr>
          <w:spacing w:val="2"/>
          <w:szCs w:val="28"/>
        </w:rPr>
        <w:t>19</w:t>
      </w:r>
      <w:r w:rsidRPr="00A150B9">
        <w:rPr>
          <w:spacing w:val="2"/>
          <w:szCs w:val="28"/>
        </w:rPr>
        <w:t xml:space="preserve"> hồ sơ</w:t>
      </w:r>
      <w:r w:rsidR="00174424">
        <w:rPr>
          <w:spacing w:val="2"/>
          <w:szCs w:val="28"/>
        </w:rPr>
        <w:t xml:space="preserve">, </w:t>
      </w:r>
      <w:r w:rsidR="00174424" w:rsidRPr="00A150B9">
        <w:rPr>
          <w:spacing w:val="2"/>
          <w:szCs w:val="28"/>
        </w:rPr>
        <w:t>không có hồ sơ quá hạn</w:t>
      </w:r>
      <w:r w:rsidRPr="00A150B9">
        <w:rPr>
          <w:spacing w:val="2"/>
          <w:szCs w:val="28"/>
        </w:rPr>
        <w:t xml:space="preserve">; đang giải quyết </w:t>
      </w:r>
      <w:r w:rsidR="008720E4" w:rsidRPr="00A150B9">
        <w:rPr>
          <w:spacing w:val="2"/>
          <w:szCs w:val="28"/>
        </w:rPr>
        <w:t>06</w:t>
      </w:r>
      <w:r w:rsidRPr="00A150B9">
        <w:rPr>
          <w:spacing w:val="2"/>
          <w:szCs w:val="28"/>
        </w:rPr>
        <w:t xml:space="preserve"> hồ sơ, chưa đến hạn </w:t>
      </w:r>
      <w:r w:rsidR="008720E4" w:rsidRPr="00A150B9">
        <w:rPr>
          <w:spacing w:val="2"/>
          <w:szCs w:val="28"/>
        </w:rPr>
        <w:t>06</w:t>
      </w:r>
      <w:r w:rsidRPr="00A150B9">
        <w:rPr>
          <w:spacing w:val="2"/>
          <w:szCs w:val="28"/>
        </w:rPr>
        <w:t xml:space="preserve"> hồ sơ.</w:t>
      </w:r>
    </w:p>
    <w:p w:rsidR="002D7822" w:rsidRDefault="00EF4896" w:rsidP="006F5176">
      <w:pPr>
        <w:pStyle w:val="ListParagraph"/>
        <w:numPr>
          <w:ilvl w:val="0"/>
          <w:numId w:val="5"/>
        </w:numPr>
        <w:spacing w:before="120" w:after="120"/>
        <w:ind w:left="0" w:firstLine="360"/>
        <w:jc w:val="both"/>
        <w:rPr>
          <w:spacing w:val="2"/>
          <w:szCs w:val="28"/>
        </w:rPr>
      </w:pPr>
      <w:r w:rsidRPr="00A150B9">
        <w:rPr>
          <w:spacing w:val="2"/>
          <w:szCs w:val="28"/>
        </w:rPr>
        <w:t xml:space="preserve">Xin chủ trương đầu tư: Tổng số hồ sơ nhận vào </w:t>
      </w:r>
      <w:r w:rsidR="00CB454A">
        <w:rPr>
          <w:spacing w:val="2"/>
          <w:szCs w:val="28"/>
        </w:rPr>
        <w:t xml:space="preserve">21 hồ sơ </w:t>
      </w:r>
      <w:r w:rsidR="00CB454A" w:rsidRPr="00A150B9">
        <w:rPr>
          <w:spacing w:val="2"/>
          <w:szCs w:val="28"/>
        </w:rPr>
        <w:t>(không có kỳ trước chuyển qua)</w:t>
      </w:r>
      <w:r w:rsidRPr="00A150B9">
        <w:rPr>
          <w:spacing w:val="2"/>
          <w:szCs w:val="28"/>
        </w:rPr>
        <w:t xml:space="preserve">, trong đó: đã giải quyết </w:t>
      </w:r>
      <w:r w:rsidR="00CB454A">
        <w:rPr>
          <w:spacing w:val="2"/>
          <w:szCs w:val="28"/>
        </w:rPr>
        <w:t>14</w:t>
      </w:r>
      <w:r w:rsidRPr="00A150B9">
        <w:rPr>
          <w:spacing w:val="2"/>
          <w:szCs w:val="28"/>
        </w:rPr>
        <w:t xml:space="preserve"> hồ sơ, trả đúng hạn </w:t>
      </w:r>
      <w:r w:rsidR="00CB454A">
        <w:rPr>
          <w:spacing w:val="2"/>
          <w:szCs w:val="28"/>
        </w:rPr>
        <w:t>14</w:t>
      </w:r>
      <w:r w:rsidRPr="00A150B9">
        <w:rPr>
          <w:spacing w:val="2"/>
          <w:szCs w:val="28"/>
        </w:rPr>
        <w:t xml:space="preserve"> hồ sơ</w:t>
      </w:r>
      <w:r w:rsidR="00174424">
        <w:rPr>
          <w:spacing w:val="2"/>
          <w:szCs w:val="28"/>
        </w:rPr>
        <w:t xml:space="preserve">, </w:t>
      </w:r>
      <w:r w:rsidR="00174424" w:rsidRPr="00A150B9">
        <w:rPr>
          <w:spacing w:val="2"/>
          <w:szCs w:val="28"/>
        </w:rPr>
        <w:t>không có hồ sơ quá hạn</w:t>
      </w:r>
      <w:r w:rsidR="00CB454A">
        <w:rPr>
          <w:spacing w:val="2"/>
          <w:szCs w:val="28"/>
        </w:rPr>
        <w:t xml:space="preserve">; </w:t>
      </w:r>
      <w:r w:rsidR="00174424">
        <w:rPr>
          <w:spacing w:val="2"/>
          <w:szCs w:val="28"/>
        </w:rPr>
        <w:t>đang giải quyết 07 hồ sơ, chưa đến hạn 07 hồ sơ</w:t>
      </w:r>
      <w:r w:rsidRPr="00A150B9">
        <w:rPr>
          <w:spacing w:val="2"/>
          <w:szCs w:val="28"/>
        </w:rPr>
        <w:t>.</w:t>
      </w:r>
    </w:p>
    <w:p w:rsidR="00CB454A" w:rsidRPr="00A150B9" w:rsidRDefault="00CB454A" w:rsidP="00CB454A">
      <w:pPr>
        <w:pStyle w:val="ListParagraph"/>
        <w:numPr>
          <w:ilvl w:val="0"/>
          <w:numId w:val="5"/>
        </w:numPr>
        <w:spacing w:before="120" w:after="120"/>
        <w:ind w:left="0" w:firstLine="360"/>
        <w:jc w:val="both"/>
        <w:rPr>
          <w:spacing w:val="2"/>
          <w:szCs w:val="28"/>
        </w:rPr>
      </w:pPr>
      <w:r w:rsidRPr="00A150B9">
        <w:rPr>
          <w:spacing w:val="2"/>
          <w:szCs w:val="28"/>
        </w:rPr>
        <w:t xml:space="preserve">Thẩm định, phê duyệt kết quả đấu thầu: Tổng số hồ sơ nhận vào </w:t>
      </w:r>
      <w:r w:rsidR="00174424">
        <w:rPr>
          <w:spacing w:val="2"/>
          <w:szCs w:val="28"/>
        </w:rPr>
        <w:t>414</w:t>
      </w:r>
      <w:r w:rsidRPr="00A150B9">
        <w:rPr>
          <w:spacing w:val="2"/>
          <w:szCs w:val="28"/>
        </w:rPr>
        <w:t xml:space="preserve"> hồ sơ mới (không có số kỳ trước chuyển sang), trong đó: đã giải quyết </w:t>
      </w:r>
      <w:r w:rsidR="002B1CD5">
        <w:rPr>
          <w:spacing w:val="2"/>
          <w:szCs w:val="28"/>
        </w:rPr>
        <w:t>390</w:t>
      </w:r>
      <w:r w:rsidRPr="00A150B9">
        <w:rPr>
          <w:spacing w:val="2"/>
          <w:szCs w:val="28"/>
        </w:rPr>
        <w:t xml:space="preserve"> hồ sơ, trả đúng hạn </w:t>
      </w:r>
      <w:r w:rsidR="00174424">
        <w:rPr>
          <w:spacing w:val="2"/>
          <w:szCs w:val="28"/>
        </w:rPr>
        <w:t>390</w:t>
      </w:r>
      <w:r w:rsidRPr="00A150B9">
        <w:rPr>
          <w:spacing w:val="2"/>
          <w:szCs w:val="28"/>
        </w:rPr>
        <w:t xml:space="preserve"> hồ sơ</w:t>
      </w:r>
      <w:r w:rsidR="00174424">
        <w:rPr>
          <w:spacing w:val="2"/>
          <w:szCs w:val="28"/>
        </w:rPr>
        <w:t>,</w:t>
      </w:r>
      <w:r w:rsidR="00174424" w:rsidRPr="00174424">
        <w:rPr>
          <w:spacing w:val="2"/>
          <w:szCs w:val="28"/>
        </w:rPr>
        <w:t xml:space="preserve"> </w:t>
      </w:r>
      <w:r w:rsidR="00174424" w:rsidRPr="00A150B9">
        <w:rPr>
          <w:spacing w:val="2"/>
          <w:szCs w:val="28"/>
        </w:rPr>
        <w:t>không có hồ sơ quá hạn</w:t>
      </w:r>
      <w:r w:rsidRPr="00A150B9">
        <w:rPr>
          <w:spacing w:val="2"/>
          <w:szCs w:val="28"/>
        </w:rPr>
        <w:t xml:space="preserve">; đang giải quyết </w:t>
      </w:r>
      <w:r w:rsidR="002B1CD5">
        <w:rPr>
          <w:spacing w:val="2"/>
          <w:szCs w:val="28"/>
        </w:rPr>
        <w:t>24</w:t>
      </w:r>
      <w:r w:rsidRPr="00A150B9">
        <w:rPr>
          <w:spacing w:val="2"/>
          <w:szCs w:val="28"/>
        </w:rPr>
        <w:t xml:space="preserve"> hồ sơ, chưa đến hạn </w:t>
      </w:r>
      <w:r w:rsidR="002B1CD5">
        <w:rPr>
          <w:spacing w:val="2"/>
          <w:szCs w:val="28"/>
        </w:rPr>
        <w:t>24</w:t>
      </w:r>
      <w:r w:rsidRPr="00A150B9">
        <w:rPr>
          <w:spacing w:val="2"/>
          <w:szCs w:val="28"/>
        </w:rPr>
        <w:t xml:space="preserve"> hồ sơ.</w:t>
      </w:r>
    </w:p>
    <w:p w:rsidR="003118E6" w:rsidRPr="003118E6" w:rsidRDefault="006B7E77" w:rsidP="003118E6">
      <w:pPr>
        <w:pStyle w:val="ListParagraph"/>
        <w:numPr>
          <w:ilvl w:val="0"/>
          <w:numId w:val="5"/>
        </w:numPr>
        <w:spacing w:before="120" w:after="120"/>
        <w:ind w:left="0" w:firstLine="360"/>
        <w:jc w:val="both"/>
        <w:rPr>
          <w:spacing w:val="2"/>
          <w:szCs w:val="28"/>
        </w:rPr>
      </w:pPr>
      <w:r w:rsidRPr="003118E6">
        <w:rPr>
          <w:spacing w:val="2"/>
          <w:szCs w:val="28"/>
        </w:rPr>
        <w:t>Triển khai thực hiện Kế hoạch 2744/KH-UBND ngày 15/6/2016 của UBND tỉnh Gia Lai về việc triển khai thực hiện Nghị quyết số 19-2016/NQ-CP ngày 28/4/2016 của Chính phủ về những nhiệm vụ và giải pháp chủ yếu cải thiện môi trường kinh doanh, nâng cao năng lực cạnh tranh của tỉnh Gia Lai hai năm 2016 – 2017 và định hướng đến năm 2020, theo đó từ ngày 01/5/2016, đơn vị trực thuộc Sở là Trung tâm XTĐT đã tiến hành triển khai phương án thực hiện dịch vụ công theo Công văn số 1843/UBND-KT ngày 27/4/2016 của UBND tỉnh. Bên cạnh đó, Trung tâm XTĐT cũng đã ban hành Quyết định số 01/QĐ-XTĐT ngày 06/5/2016 về việc ban hành khung giá dịch vụ tư vấn cấp giấy chứng nhận đăng ký doanh nghiệp, giấy chứng nhận đăng ký đầu tư và khắc dấu. Tính đến thời điểm hiện tại, dịch vụ công về Đăng ký kinh doanh đã giải quyết 189 hồ sơ theo hình thức dịch vụ công.</w:t>
      </w:r>
    </w:p>
    <w:p w:rsidR="00EF4896" w:rsidRPr="00B81CF4" w:rsidRDefault="00EF4896" w:rsidP="00EF4896">
      <w:pPr>
        <w:spacing w:before="120" w:after="120"/>
        <w:rPr>
          <w:b/>
          <w:szCs w:val="28"/>
        </w:rPr>
      </w:pPr>
      <w:r w:rsidRPr="00B81CF4">
        <w:rPr>
          <w:b/>
          <w:szCs w:val="28"/>
        </w:rPr>
        <w:tab/>
        <w:t>4. Một số nội dung khác:</w:t>
      </w:r>
    </w:p>
    <w:p w:rsidR="00A51F01" w:rsidRPr="00B81CF4" w:rsidRDefault="00A51F01" w:rsidP="00A51F01">
      <w:pPr>
        <w:spacing w:before="120" w:after="120"/>
        <w:ind w:firstLine="720"/>
        <w:jc w:val="both"/>
        <w:rPr>
          <w:szCs w:val="28"/>
        </w:rPr>
      </w:pPr>
      <w:r w:rsidRPr="00B81CF4">
        <w:rPr>
          <w:bCs/>
          <w:szCs w:val="28"/>
          <w:lang w:val="fr-FR"/>
        </w:rPr>
        <w:t>Thực hiện việc xây dựng cơ cấu công chức, viên chức theo vị trí việc làm tại các phòng ban chuyên môn các phòng thuộc Sở và đơn vị trực thuộc được thực hiện nghiêm túc, đảm bảo thực hiện đúng theo tiêu chuẩn, chức danh, vị trí việc làm đã xây dựng và đang trình các cấp thẩm quyền phê duyệt.</w:t>
      </w:r>
    </w:p>
    <w:p w:rsidR="00A51F01" w:rsidRDefault="00A51F01" w:rsidP="00A51F01">
      <w:pPr>
        <w:spacing w:before="120" w:after="120"/>
        <w:ind w:firstLine="720"/>
        <w:jc w:val="both"/>
        <w:rPr>
          <w:bCs/>
          <w:szCs w:val="28"/>
          <w:lang w:val="vi-VN"/>
        </w:rPr>
      </w:pPr>
      <w:r w:rsidRPr="00B81CF4">
        <w:rPr>
          <w:bCs/>
          <w:szCs w:val="28"/>
          <w:lang w:val="fr-FR"/>
        </w:rPr>
        <w:t xml:space="preserve">Thực hiện quy trình, thủ tục hồ sơ bổ nhiệm, bổ nhiệm lại Sở theo đúng quy định tại Quyết định số 1557/QĐ-TTg ngày 18/10/2012 của Thủ tướng Chính phủ, Quyết định số 582-QĐ/TU ngày 20/12/2007 của Tỉnh ủy Gia Lai và Kế hoạch số 2627/KH-UBND ngày 09/8/2013 của UBND tỉnh về thực hiện ‘’Đẩy mạnh cải cách chế độ công vụ, công chức’’. Về tiêu chuẩn hiện nay các chức danh cán bộ lãnh đạo, quản lý cơ bản đáp ứng đủ tiêu chuẩn theo quy định tại Quyết định số 23/2009/QĐ-UBND ngày 22/7/2009 của UBND tỉnh và Quyết định </w:t>
      </w:r>
      <w:r w:rsidRPr="00B81CF4">
        <w:rPr>
          <w:szCs w:val="28"/>
          <w:shd w:val="clear" w:color="auto" w:fill="FFFFFF"/>
        </w:rPr>
        <w:t>04/2013/QĐ-UBND ngày 22/01/2013 của UBND tỉnh về việc ban hành Quy định quản lý công tác tổ chức, cán bộ, công chức, viên chức nhà nước thuộc tỉnh</w:t>
      </w:r>
      <w:r w:rsidRPr="00B81CF4">
        <w:rPr>
          <w:bCs/>
          <w:szCs w:val="28"/>
          <w:lang w:val="fr-FR"/>
        </w:rPr>
        <w:t>.</w:t>
      </w:r>
    </w:p>
    <w:p w:rsidR="003622EF" w:rsidRPr="003622EF" w:rsidRDefault="00DE193A" w:rsidP="00A51F01">
      <w:pPr>
        <w:spacing w:before="120" w:after="120"/>
        <w:ind w:firstLine="720"/>
        <w:jc w:val="both"/>
        <w:rPr>
          <w:szCs w:val="28"/>
          <w:lang w:val="vi-VN"/>
        </w:rPr>
      </w:pPr>
      <w:r>
        <w:rPr>
          <w:bCs/>
          <w:szCs w:val="28"/>
          <w:lang w:val="vi-VN"/>
        </w:rPr>
        <w:lastRenderedPageBreak/>
        <w:t xml:space="preserve">Trong </w:t>
      </w:r>
      <w:r w:rsidR="003622EF">
        <w:rPr>
          <w:bCs/>
          <w:szCs w:val="28"/>
          <w:lang w:val="vi-VN"/>
        </w:rPr>
        <w:t xml:space="preserve">năm 2016, Sở đã </w:t>
      </w:r>
      <w:r w:rsidR="00294145">
        <w:rPr>
          <w:bCs/>
          <w:szCs w:val="28"/>
        </w:rPr>
        <w:t>tham mưu</w:t>
      </w:r>
      <w:r w:rsidR="003622EF">
        <w:rPr>
          <w:bCs/>
          <w:szCs w:val="28"/>
          <w:lang w:val="vi-VN"/>
        </w:rPr>
        <w:t xml:space="preserve"> UBND tỉnh ban hành Quyết định số</w:t>
      </w:r>
      <w:r w:rsidR="006D0788">
        <w:rPr>
          <w:bCs/>
          <w:szCs w:val="28"/>
        </w:rPr>
        <w:t xml:space="preserve"> 22/2016/QĐ-UBND về quy định chức năng, nhiệm vụ, quyền hạn và cơ cấu tổ chức của Sở Kế hoạch và Đầu tư thay thế Quyết định số 34/2009/QĐ-UBND ngày 13/10/2009</w:t>
      </w:r>
      <w:r w:rsidR="003622EF">
        <w:rPr>
          <w:bCs/>
          <w:szCs w:val="28"/>
          <w:lang w:val="vi-VN"/>
        </w:rPr>
        <w:t>.</w:t>
      </w:r>
    </w:p>
    <w:p w:rsidR="003622EF" w:rsidRPr="003303E3" w:rsidRDefault="00A51F01" w:rsidP="003622EF">
      <w:pPr>
        <w:spacing w:before="120" w:after="120"/>
        <w:ind w:firstLine="720"/>
        <w:jc w:val="both"/>
        <w:rPr>
          <w:bCs/>
          <w:color w:val="FF0000"/>
          <w:szCs w:val="28"/>
          <w:lang w:val="vi-VN"/>
        </w:rPr>
      </w:pPr>
      <w:r w:rsidRPr="001A43AA">
        <w:rPr>
          <w:bCs/>
          <w:szCs w:val="28"/>
          <w:lang w:val="fr-FR"/>
        </w:rPr>
        <w:t xml:space="preserve">Lãnh đạo Sở </w:t>
      </w:r>
      <w:r w:rsidR="00706327" w:rsidRPr="001A43AA">
        <w:rPr>
          <w:bCs/>
          <w:szCs w:val="28"/>
          <w:lang w:val="fr-FR"/>
        </w:rPr>
        <w:t xml:space="preserve">luôn </w:t>
      </w:r>
      <w:r w:rsidRPr="001A43AA">
        <w:rPr>
          <w:bCs/>
          <w:szCs w:val="28"/>
          <w:lang w:val="fr-FR"/>
        </w:rPr>
        <w:t xml:space="preserve">quan tâm công tác đào tạo, bồi dưỡng cán bộ, công chức, coi đây là nhiệm vụ quan trọng để nâng cao trình độ chuyên môn, nghiệp vụ của cán bộ công chức và đảm bảo triển khai thực hiện theo mục tiêu, kế hoạch. </w:t>
      </w:r>
      <w:r w:rsidRPr="003303E3">
        <w:rPr>
          <w:bCs/>
          <w:color w:val="FF0000"/>
          <w:szCs w:val="28"/>
          <w:lang w:val="fr-FR"/>
        </w:rPr>
        <w:t>Trong năm 201</w:t>
      </w:r>
      <w:r w:rsidR="00706327" w:rsidRPr="003303E3">
        <w:rPr>
          <w:bCs/>
          <w:color w:val="FF0000"/>
          <w:szCs w:val="28"/>
          <w:lang w:val="fr-FR"/>
        </w:rPr>
        <w:t>6</w:t>
      </w:r>
      <w:r w:rsidRPr="003303E3">
        <w:rPr>
          <w:bCs/>
          <w:color w:val="FF0000"/>
          <w:szCs w:val="28"/>
          <w:lang w:val="fr-FR"/>
        </w:rPr>
        <w:t>, Sở Kế hoạch và Đầu tư đã đăng ký: 0</w:t>
      </w:r>
      <w:r w:rsidR="003303E3" w:rsidRPr="003303E3">
        <w:rPr>
          <w:bCs/>
          <w:color w:val="FF0000"/>
          <w:szCs w:val="28"/>
          <w:lang w:val="fr-FR"/>
        </w:rPr>
        <w:t>6</w:t>
      </w:r>
      <w:r w:rsidRPr="003303E3">
        <w:rPr>
          <w:bCs/>
          <w:color w:val="FF0000"/>
          <w:szCs w:val="28"/>
          <w:lang w:val="fr-FR"/>
        </w:rPr>
        <w:t xml:space="preserve"> đồng chí học lớp bồi dưỡng kiến thức QLNN chương trình chuyên viên</w:t>
      </w:r>
      <w:r w:rsidR="003303E3" w:rsidRPr="003303E3">
        <w:rPr>
          <w:bCs/>
          <w:color w:val="FF0000"/>
          <w:szCs w:val="28"/>
          <w:lang w:val="fr-FR"/>
        </w:rPr>
        <w:t xml:space="preserve"> nhưng chỉ có 05 đồng chí dự thi</w:t>
      </w:r>
      <w:r w:rsidR="00984EC4" w:rsidRPr="003303E3">
        <w:rPr>
          <w:bCs/>
          <w:color w:val="FF0000"/>
          <w:szCs w:val="28"/>
          <w:lang w:val="fr-FR"/>
        </w:rPr>
        <w:t xml:space="preserve"> và 02 đồng chí tham dự kỳ thi bồi dưỡng kiến thức QLNN chương trình chuyên viên chính</w:t>
      </w:r>
      <w:r w:rsidRPr="003303E3">
        <w:rPr>
          <w:bCs/>
          <w:color w:val="FF0000"/>
          <w:szCs w:val="28"/>
          <w:lang w:val="fr-FR"/>
        </w:rPr>
        <w:t>.</w:t>
      </w:r>
    </w:p>
    <w:p w:rsidR="00A51F01" w:rsidRPr="00B81CF4" w:rsidRDefault="00A51F01" w:rsidP="00A51F01">
      <w:pPr>
        <w:spacing w:before="120" w:after="120"/>
        <w:ind w:firstLine="720"/>
        <w:jc w:val="both"/>
        <w:rPr>
          <w:szCs w:val="28"/>
        </w:rPr>
      </w:pPr>
      <w:r w:rsidRPr="00B81CF4">
        <w:rPr>
          <w:bCs/>
          <w:szCs w:val="28"/>
          <w:lang w:val="fr-FR"/>
        </w:rPr>
        <w:t>Thực hiện tốt công tác cải cách về thuế theo Chỉ thị số 24/CT-TTg ngày 05/8/2014 của Thủ tướng Chính phủ; Nghị định số 12/2015/NĐ-CP ngày 12/02/2015 của Chính phủ ; Công văn số 829/CT-TTHT của Cục thuế tỉnh Gia Lai về nộp thuế điện tử và Công văn số 964/TCT-CNTT ngày 20/3/2015 của Cục thuế tỉnh về triển khai thuế điện tử trên Cổng thông tin điện tử, lập tài khoản Ngân hàng thương mại đăng ký nộp thuế điện tử.</w:t>
      </w:r>
    </w:p>
    <w:p w:rsidR="00A51F01" w:rsidRPr="00C17C17" w:rsidRDefault="00A51F01" w:rsidP="00C17C17">
      <w:pPr>
        <w:spacing w:before="120" w:after="120"/>
        <w:ind w:firstLine="720"/>
        <w:jc w:val="both"/>
        <w:rPr>
          <w:bCs/>
          <w:szCs w:val="28"/>
          <w:lang w:val="vi-VN"/>
        </w:rPr>
      </w:pPr>
      <w:r w:rsidRPr="00B81CF4">
        <w:rPr>
          <w:bCs/>
          <w:szCs w:val="28"/>
          <w:lang w:val="fr-FR"/>
        </w:rPr>
        <w:t xml:space="preserve">Về tình hình triển khai các chính sách cải cách thu nhập, tiền lương thường xuyên cho cán bộ, công chức, viên chức theo đúng quy định của Thông tư số 32/2015/TT-BTC ngày 17/3/2015 của Bộ Tài chính về điều chỉnh lương đối với CBCCVC có hệ số lương dưới 2,34 và Công văn số 462/STC-QLNS về xác định nhu cầu, </w:t>
      </w:r>
      <w:r w:rsidRPr="00C17C17">
        <w:rPr>
          <w:bCs/>
          <w:szCs w:val="28"/>
          <w:lang w:val="fr-FR"/>
        </w:rPr>
        <w:t>nguồn và phương thức thực hiện điều chỉnh lương đối với CBCCVC.</w:t>
      </w:r>
      <w:r w:rsidR="00C17C17" w:rsidRPr="00C17C17">
        <w:rPr>
          <w:bCs/>
          <w:szCs w:val="28"/>
          <w:lang w:val="vi-VN"/>
        </w:rPr>
        <w:t xml:space="preserve"> </w:t>
      </w:r>
      <w:r w:rsidRPr="00C17C17">
        <w:rPr>
          <w:szCs w:val="28"/>
          <w:lang w:val="fr-FR"/>
        </w:rPr>
        <w:t xml:space="preserve">Các phòng thuộc Sở và </w:t>
      </w:r>
      <w:r w:rsidR="006F5176" w:rsidRPr="00C17C17">
        <w:rPr>
          <w:szCs w:val="28"/>
          <w:lang w:val="fr-FR"/>
        </w:rPr>
        <w:t xml:space="preserve">01 </w:t>
      </w:r>
      <w:r w:rsidRPr="00C17C17">
        <w:rPr>
          <w:szCs w:val="28"/>
          <w:lang w:val="fr-FR"/>
        </w:rPr>
        <w:t xml:space="preserve">đơn vị trực thuộc </w:t>
      </w:r>
      <w:r w:rsidR="006F5176" w:rsidRPr="00C17C17">
        <w:rPr>
          <w:szCs w:val="28"/>
          <w:lang w:val="fr-FR"/>
        </w:rPr>
        <w:t xml:space="preserve">(Trung tâm Xúc tiến Đầu tư) </w:t>
      </w:r>
      <w:r w:rsidRPr="00C17C17">
        <w:rPr>
          <w:szCs w:val="28"/>
          <w:lang w:val="fr-FR"/>
        </w:rPr>
        <w:t xml:space="preserve">thực hiện tốt cơ chế tự chủ theo Nghị định số 130/2005/NĐ-CP, Nghị định số </w:t>
      </w:r>
      <w:r w:rsidR="00D43BB0" w:rsidRPr="00C17C17">
        <w:rPr>
          <w:szCs w:val="28"/>
          <w:lang w:val="vi-VN"/>
        </w:rPr>
        <w:t>16/2015</w:t>
      </w:r>
      <w:r w:rsidRPr="00C17C17">
        <w:rPr>
          <w:szCs w:val="28"/>
          <w:lang w:val="fr-FR"/>
        </w:rPr>
        <w:t xml:space="preserve">/NĐ-CP. </w:t>
      </w:r>
      <w:r w:rsidR="00C17C17" w:rsidRPr="00C17C17">
        <w:rPr>
          <w:szCs w:val="28"/>
          <w:lang w:val="vi-VN"/>
        </w:rPr>
        <w:t xml:space="preserve">Triển khai đăng ký đơn vị sự nghiệp hoạt động theo tinh thần của </w:t>
      </w:r>
      <w:r w:rsidR="00C17C17" w:rsidRPr="00C17C17">
        <w:rPr>
          <w:color w:val="000000"/>
          <w:szCs w:val="28"/>
        </w:rPr>
        <w:t xml:space="preserve">Quyết định số 695/QĐ-TTg của Thủ tướng Chính </w:t>
      </w:r>
      <w:r w:rsidR="00C17C17" w:rsidRPr="00C17C17">
        <w:rPr>
          <w:color w:val="000000"/>
          <w:szCs w:val="28"/>
          <w:lang w:val="vi-VN"/>
        </w:rPr>
        <w:t>phủ về ban</w:t>
      </w:r>
      <w:r w:rsidR="001A43AA">
        <w:rPr>
          <w:color w:val="000000"/>
          <w:szCs w:val="28"/>
        </w:rPr>
        <w:t xml:space="preserve"> </w:t>
      </w:r>
      <w:r w:rsidR="00C17C17" w:rsidRPr="00C17C17">
        <w:rPr>
          <w:color w:val="000000"/>
          <w:szCs w:val="28"/>
        </w:rPr>
        <w:t>hành Kế hoạch triển khai thực hiện Nghị định số 16/2015/NĐ-CP ngày 14 tháng 02 năm 2015 của Chính phủ quy định cơ chế tự chủ của đơn vị sự nghiệp công lập</w:t>
      </w:r>
      <w:r w:rsidR="00C17C17" w:rsidRPr="00C17C17">
        <w:rPr>
          <w:color w:val="000000"/>
          <w:szCs w:val="28"/>
          <w:lang w:val="vi-VN"/>
        </w:rPr>
        <w:t>.</w:t>
      </w:r>
      <w:r w:rsidR="00C17C17" w:rsidRPr="00C17C17">
        <w:rPr>
          <w:bCs/>
          <w:szCs w:val="28"/>
          <w:lang w:val="vi-VN"/>
        </w:rPr>
        <w:t xml:space="preserve"> </w:t>
      </w:r>
      <w:r w:rsidRPr="00C17C17">
        <w:rPr>
          <w:szCs w:val="28"/>
          <w:lang w:val="fr-FR"/>
        </w:rPr>
        <w:t xml:space="preserve">Sở đã ban hành </w:t>
      </w:r>
      <w:r w:rsidR="00294145">
        <w:rPr>
          <w:bCs/>
          <w:szCs w:val="28"/>
          <w:lang w:val="fr-FR"/>
        </w:rPr>
        <w:t>Q</w:t>
      </w:r>
      <w:r w:rsidRPr="00C17C17">
        <w:rPr>
          <w:bCs/>
          <w:szCs w:val="28"/>
          <w:lang w:val="fr-FR"/>
        </w:rPr>
        <w:t xml:space="preserve">uy chế chi tiêu nội bộ và </w:t>
      </w:r>
      <w:r w:rsidR="00294145">
        <w:rPr>
          <w:bCs/>
          <w:szCs w:val="28"/>
          <w:lang w:val="fr-FR"/>
        </w:rPr>
        <w:t>Q</w:t>
      </w:r>
      <w:r w:rsidRPr="00C17C17">
        <w:rPr>
          <w:bCs/>
          <w:szCs w:val="28"/>
          <w:lang w:val="fr-FR"/>
        </w:rPr>
        <w:t>uy chế quản lý tài sản công</w:t>
      </w:r>
      <w:r w:rsidRPr="00C17C17">
        <w:rPr>
          <w:szCs w:val="28"/>
        </w:rPr>
        <w:t>.</w:t>
      </w:r>
      <w:r w:rsidR="006F5176" w:rsidRPr="00C17C17">
        <w:rPr>
          <w:szCs w:val="28"/>
        </w:rPr>
        <w:t xml:space="preserve"> Trung tâm Xúc tiến Đầu tư đã triển khai dịch vụ công về lĩnh vực Đăng ký doanh nghiệp.</w:t>
      </w:r>
    </w:p>
    <w:p w:rsidR="00A51F01" w:rsidRPr="00B81CF4" w:rsidRDefault="00A51F01" w:rsidP="00A51F01">
      <w:pPr>
        <w:spacing w:before="120" w:after="120"/>
        <w:ind w:firstLine="720"/>
        <w:jc w:val="both"/>
        <w:rPr>
          <w:szCs w:val="28"/>
        </w:rPr>
      </w:pPr>
      <w:r w:rsidRPr="00B81CF4">
        <w:rPr>
          <w:b/>
          <w:szCs w:val="28"/>
        </w:rPr>
        <w:t>II.</w:t>
      </w:r>
      <w:r w:rsidRPr="00B81CF4">
        <w:rPr>
          <w:szCs w:val="28"/>
        </w:rPr>
        <w:t xml:space="preserve"> </w:t>
      </w:r>
      <w:r w:rsidRPr="00B81CF4">
        <w:rPr>
          <w:b/>
          <w:szCs w:val="28"/>
        </w:rPr>
        <w:t>Tình hình và kết quả thực hiện công tác rà soát TTHC</w:t>
      </w:r>
      <w:r w:rsidRPr="00B81CF4">
        <w:rPr>
          <w:szCs w:val="28"/>
        </w:rPr>
        <w:t>:</w:t>
      </w:r>
    </w:p>
    <w:p w:rsidR="00A51F01" w:rsidRPr="00B81CF4" w:rsidRDefault="00A51F01" w:rsidP="004C1131">
      <w:pPr>
        <w:spacing w:before="120" w:after="120"/>
        <w:ind w:firstLine="720"/>
        <w:jc w:val="both"/>
        <w:rPr>
          <w:szCs w:val="28"/>
        </w:rPr>
      </w:pPr>
      <w:r w:rsidRPr="00B81CF4">
        <w:rPr>
          <w:szCs w:val="28"/>
        </w:rPr>
        <w:t xml:space="preserve">Sở Kế hoạch và Đầu tư tiếp tục đăng ký kế hoạch rà soát các quy định, </w:t>
      </w:r>
      <w:r w:rsidR="004C1131" w:rsidRPr="00B81CF4">
        <w:rPr>
          <w:szCs w:val="28"/>
        </w:rPr>
        <w:t xml:space="preserve">các </w:t>
      </w:r>
      <w:r w:rsidRPr="00B81CF4">
        <w:rPr>
          <w:szCs w:val="28"/>
        </w:rPr>
        <w:t xml:space="preserve">TTHC </w:t>
      </w:r>
      <w:r w:rsidR="004C1131" w:rsidRPr="00B81CF4">
        <w:rPr>
          <w:szCs w:val="28"/>
        </w:rPr>
        <w:t>như sau</w:t>
      </w:r>
      <w:r w:rsidRPr="00B81CF4">
        <w:rPr>
          <w:szCs w:val="28"/>
        </w:rPr>
        <w:t>:</w:t>
      </w:r>
    </w:p>
    <w:p w:rsidR="004C1131" w:rsidRPr="002D6C5F" w:rsidRDefault="00A51F01" w:rsidP="004C1131">
      <w:pPr>
        <w:pStyle w:val="ListParagraph"/>
        <w:numPr>
          <w:ilvl w:val="0"/>
          <w:numId w:val="5"/>
        </w:numPr>
        <w:ind w:left="0" w:firstLine="360"/>
        <w:jc w:val="both"/>
        <w:rPr>
          <w:color w:val="FF0000"/>
          <w:szCs w:val="28"/>
        </w:rPr>
      </w:pPr>
      <w:r w:rsidRPr="00B81CF4">
        <w:rPr>
          <w:szCs w:val="28"/>
        </w:rPr>
        <w:t xml:space="preserve">Quy trình cấp giấy chứng nhận đầu tư, căn cứ lựa chọn: </w:t>
      </w:r>
      <w:r w:rsidR="00DE6521">
        <w:rPr>
          <w:szCs w:val="28"/>
        </w:rPr>
        <w:t>Căn cứ theo sự thay đổi, bổ sung và bãi bỏ của L</w:t>
      </w:r>
      <w:r w:rsidRPr="00B81CF4">
        <w:rPr>
          <w:szCs w:val="28"/>
        </w:rPr>
        <w:t xml:space="preserve">uật đầu tư </w:t>
      </w:r>
      <w:r w:rsidR="004E090B">
        <w:rPr>
          <w:szCs w:val="28"/>
        </w:rPr>
        <w:t>năm 2014</w:t>
      </w:r>
      <w:r w:rsidR="00007B2C">
        <w:rPr>
          <w:szCs w:val="28"/>
        </w:rPr>
        <w:t xml:space="preserve"> sửa đổi,</w:t>
      </w:r>
      <w:r w:rsidR="004E090B">
        <w:rPr>
          <w:szCs w:val="28"/>
        </w:rPr>
        <w:t xml:space="preserve"> </w:t>
      </w:r>
      <w:r w:rsidR="00BC4F11" w:rsidRPr="002D6C5F">
        <w:rPr>
          <w:color w:val="FF0000"/>
          <w:szCs w:val="28"/>
        </w:rPr>
        <w:t>Sở đ</w:t>
      </w:r>
      <w:r w:rsidR="00007B2C" w:rsidRPr="002D6C5F">
        <w:rPr>
          <w:color w:val="FF0000"/>
          <w:szCs w:val="28"/>
        </w:rPr>
        <w:t>ã</w:t>
      </w:r>
      <w:r w:rsidR="00BC4F11" w:rsidRPr="002D6C5F">
        <w:rPr>
          <w:color w:val="FF0000"/>
          <w:szCs w:val="28"/>
        </w:rPr>
        <w:t xml:space="preserve"> trình dự thảo gửi UBND tỉnh thẩm </w:t>
      </w:r>
      <w:r w:rsidR="00007B2C" w:rsidRPr="002D6C5F">
        <w:rPr>
          <w:color w:val="FF0000"/>
          <w:szCs w:val="28"/>
        </w:rPr>
        <w:t>định bổ sung mới 25 TTHC và bãi bỏ 12 TTHC trong lĩnh vực đầu tư và đã được UBND tỉnh ban hành Quyết định số 446/QĐ-UBND ngày 18/5/2016 về việc công bố 25 thủ thục hành chính mới, 12 thủ tục hành chính bãi bỏ trong lĩnh vực đầu tư thuộc thẩm quyền giải quyết của Sở Kế hoạch và Đầu tư</w:t>
      </w:r>
      <w:r w:rsidR="00BC4F11" w:rsidRPr="002D6C5F">
        <w:rPr>
          <w:color w:val="FF0000"/>
          <w:szCs w:val="28"/>
        </w:rPr>
        <w:t>; lĩnh vực</w:t>
      </w:r>
      <w:r w:rsidR="00007B2C" w:rsidRPr="002D6C5F">
        <w:rPr>
          <w:color w:val="FF0000"/>
          <w:szCs w:val="28"/>
        </w:rPr>
        <w:t xml:space="preserve"> Ưu đãi đầu tư cũng được Sở trình dự thảo gửi UBND tỉnh thẩm định bổ sung 02 TTHC về hỗ trợ ưu đãi đầu tư và đã được UBND tỉnh ban hành theo Quyết định số 26/2016/QĐ-UBND ngày 23/5/2016</w:t>
      </w:r>
      <w:r w:rsidR="002D6C5F" w:rsidRPr="002D6C5F">
        <w:rPr>
          <w:color w:val="FF0000"/>
          <w:szCs w:val="28"/>
        </w:rPr>
        <w:t xml:space="preserve"> về quy định một số chính sách hỗ trợ đầu tư áp dụng tại địa bàn tỉnh Gia Lai và Quyết định số 11/2016/QĐ-UBND ngày 3/3/2016 về quy định thực hiện cơ chế một cửa liên thông trong việc giải quyết thủ tục Quyết định chủ trương đầu tư, thủ tục Quyết định hỗ trợ đầu tư cho doanh nghiệp đầu tư vào nông nghiệp, nông thôn theo Nghị định số 210/2013/NĐ-CP ngày 19/12/2013 của Chính phủ thuộc thẩm quyền quyết định của UBND tỉnh.</w:t>
      </w:r>
    </w:p>
    <w:p w:rsidR="004C1131" w:rsidRPr="00B81CF4" w:rsidRDefault="00A51F01" w:rsidP="004C1131">
      <w:pPr>
        <w:pStyle w:val="ListParagraph"/>
        <w:numPr>
          <w:ilvl w:val="0"/>
          <w:numId w:val="5"/>
        </w:numPr>
        <w:ind w:left="0" w:firstLine="360"/>
        <w:jc w:val="both"/>
        <w:rPr>
          <w:szCs w:val="28"/>
        </w:rPr>
      </w:pPr>
      <w:r w:rsidRPr="00B81CF4">
        <w:rPr>
          <w:szCs w:val="28"/>
        </w:rPr>
        <w:lastRenderedPageBreak/>
        <w:t xml:space="preserve">Quy trình cấp đăng ký kinh doanh cho các doanh nghiệp, căn cứ lựa chọn: Tinh gọn thủ tục, biểu mẫu, thời gian TTHC theo Luật doanh nghiệp </w:t>
      </w:r>
      <w:r w:rsidR="004E090B">
        <w:rPr>
          <w:szCs w:val="28"/>
        </w:rPr>
        <w:t>năm 2014</w:t>
      </w:r>
      <w:r w:rsidRPr="00B81CF4">
        <w:rPr>
          <w:szCs w:val="28"/>
        </w:rPr>
        <w:t>.</w:t>
      </w:r>
    </w:p>
    <w:p w:rsidR="004C1131" w:rsidRPr="00B81CF4" w:rsidRDefault="00A51F01" w:rsidP="004C1131">
      <w:pPr>
        <w:pStyle w:val="ListParagraph"/>
        <w:numPr>
          <w:ilvl w:val="0"/>
          <w:numId w:val="5"/>
        </w:numPr>
        <w:ind w:left="0" w:firstLine="360"/>
        <w:jc w:val="both"/>
        <w:rPr>
          <w:szCs w:val="28"/>
        </w:rPr>
      </w:pPr>
      <w:r w:rsidRPr="00B81CF4">
        <w:rPr>
          <w:szCs w:val="28"/>
        </w:rPr>
        <w:t>Thẩm định dự án, căn cứ lựa chọn: Sửa đổi TTHC phù hợp với quy định mới theo Luật Xây dựng.</w:t>
      </w:r>
    </w:p>
    <w:p w:rsidR="00A51F01" w:rsidRDefault="00A51F01" w:rsidP="004C1131">
      <w:pPr>
        <w:pStyle w:val="ListParagraph"/>
        <w:numPr>
          <w:ilvl w:val="0"/>
          <w:numId w:val="5"/>
        </w:numPr>
        <w:ind w:left="0" w:firstLine="360"/>
        <w:jc w:val="both"/>
        <w:rPr>
          <w:szCs w:val="28"/>
        </w:rPr>
      </w:pPr>
      <w:r w:rsidRPr="00B81CF4">
        <w:rPr>
          <w:szCs w:val="28"/>
        </w:rPr>
        <w:t>Phê duyệt kế hoạch đấu thầu, căn cứ lựa chọn: Sửa đổi TTHC phù hợp với quy định mới theo Luật đấu thầu.</w:t>
      </w:r>
    </w:p>
    <w:p w:rsidR="00DE6521" w:rsidRDefault="00DE6521" w:rsidP="004C1131">
      <w:pPr>
        <w:pStyle w:val="ListParagraph"/>
        <w:numPr>
          <w:ilvl w:val="0"/>
          <w:numId w:val="5"/>
        </w:numPr>
        <w:ind w:left="0" w:firstLine="360"/>
        <w:jc w:val="both"/>
        <w:rPr>
          <w:szCs w:val="28"/>
        </w:rPr>
      </w:pPr>
      <w:r>
        <w:rPr>
          <w:szCs w:val="28"/>
        </w:rPr>
        <w:t>Ngoài ra, đối với một số TTHC đã được công bố ban hành có thời gian xử lý là 03 ngày, Sở tiếp tục rà soát, rút ngắn thời gian xử lý so với quy định, cụ thể:</w:t>
      </w:r>
    </w:p>
    <w:p w:rsidR="00AF1768" w:rsidRPr="00B32EDB" w:rsidRDefault="00AF1768" w:rsidP="00AF1768">
      <w:pPr>
        <w:ind w:firstLine="720"/>
        <w:jc w:val="both"/>
        <w:rPr>
          <w:szCs w:val="28"/>
        </w:rPr>
      </w:pPr>
      <w:r w:rsidRPr="00B32EDB">
        <w:rPr>
          <w:szCs w:val="28"/>
        </w:rPr>
        <w:t>Theo Quyết định số 311/QĐ-UBND ngày 08/4/2016 của UBND tỉnh Gia Lai, Sở đã giảm số lượng TTHC từ 100 TTHC xuống còn 27 TTHC và quy định thời gian giải quyết hồ sơ tối đa là 03 ngày làm việc</w:t>
      </w:r>
      <w:r w:rsidR="00391073" w:rsidRPr="00B32EDB">
        <w:rPr>
          <w:szCs w:val="28"/>
        </w:rPr>
        <w:t xml:space="preserve"> đối với lĩnh vực Đăng ký kinh doanh</w:t>
      </w:r>
      <w:r w:rsidRPr="00B32EDB">
        <w:rPr>
          <w:szCs w:val="28"/>
        </w:rPr>
        <w:t>.</w:t>
      </w:r>
    </w:p>
    <w:p w:rsidR="00AF1768" w:rsidRDefault="00AF1768" w:rsidP="00AF1768">
      <w:pPr>
        <w:ind w:firstLine="720"/>
        <w:jc w:val="both"/>
        <w:rPr>
          <w:szCs w:val="28"/>
        </w:rPr>
      </w:pPr>
      <w:r>
        <w:rPr>
          <w:szCs w:val="28"/>
        </w:rPr>
        <w:t>Căn cứ chức năng, nhiệm vụ và Chương trình hành động của các Phòng, ban chuyên môn liên quan, Sở đã tiến hành đăng ký thời gian giải quyết TTHC về lĩnh vực Đăng ký kinh doanh năm 2016 như sau:</w:t>
      </w:r>
    </w:p>
    <w:p w:rsidR="000F063A" w:rsidRDefault="00AF1768" w:rsidP="000F063A">
      <w:pPr>
        <w:pStyle w:val="ListParagraph"/>
        <w:numPr>
          <w:ilvl w:val="0"/>
          <w:numId w:val="8"/>
        </w:numPr>
        <w:ind w:left="0" w:firstLine="360"/>
        <w:jc w:val="both"/>
        <w:rPr>
          <w:szCs w:val="28"/>
        </w:rPr>
      </w:pPr>
      <w:r>
        <w:rPr>
          <w:szCs w:val="28"/>
        </w:rPr>
        <w:t>Giảm thời gian giải quyết hồ sơ còn 01 ngày đối với 12/27 TTHC đã được công bố ban hành</w:t>
      </w:r>
      <w:r w:rsidR="0035333F">
        <w:rPr>
          <w:szCs w:val="28"/>
        </w:rPr>
        <w:t xml:space="preserve"> (t</w:t>
      </w:r>
      <w:r w:rsidR="0035333F" w:rsidRPr="00B32EDB">
        <w:rPr>
          <w:szCs w:val="28"/>
        </w:rPr>
        <w:t>heo Quyết định số 311/QĐ-UBND ngày 08/4/2016 của UBND tỉnh</w:t>
      </w:r>
      <w:r w:rsidR="0035333F">
        <w:rPr>
          <w:szCs w:val="28"/>
        </w:rPr>
        <w:t>)</w:t>
      </w:r>
      <w:r>
        <w:rPr>
          <w:szCs w:val="28"/>
        </w:rPr>
        <w:t>;</w:t>
      </w:r>
    </w:p>
    <w:p w:rsidR="000F063A" w:rsidRDefault="00AF1768" w:rsidP="000F063A">
      <w:pPr>
        <w:pStyle w:val="ListParagraph"/>
        <w:numPr>
          <w:ilvl w:val="0"/>
          <w:numId w:val="8"/>
        </w:numPr>
        <w:ind w:left="0" w:firstLine="360"/>
        <w:jc w:val="both"/>
        <w:rPr>
          <w:szCs w:val="28"/>
        </w:rPr>
      </w:pPr>
      <w:r w:rsidRPr="000F063A">
        <w:rPr>
          <w:szCs w:val="28"/>
        </w:rPr>
        <w:t>Giảm thời gian giải quyết hồ sơ còn 02 ngày đối với 04/27 TTHC đã được công bố ban hành</w:t>
      </w:r>
      <w:r w:rsidR="0035333F">
        <w:rPr>
          <w:szCs w:val="28"/>
        </w:rPr>
        <w:t xml:space="preserve"> (t</w:t>
      </w:r>
      <w:r w:rsidR="0035333F" w:rsidRPr="00B32EDB">
        <w:rPr>
          <w:szCs w:val="28"/>
        </w:rPr>
        <w:t>heo Quyết định số 311/QĐ-UBND ngày 08/4/2016 của UBND tỉnh</w:t>
      </w:r>
      <w:r w:rsidR="0035333F">
        <w:rPr>
          <w:szCs w:val="28"/>
        </w:rPr>
        <w:t>)</w:t>
      </w:r>
      <w:r w:rsidRPr="000F063A">
        <w:rPr>
          <w:szCs w:val="28"/>
        </w:rPr>
        <w:t>.</w:t>
      </w:r>
    </w:p>
    <w:p w:rsidR="00810733" w:rsidRPr="00B32EDB" w:rsidRDefault="00810733" w:rsidP="000F063A">
      <w:pPr>
        <w:pStyle w:val="ListParagraph"/>
        <w:numPr>
          <w:ilvl w:val="0"/>
          <w:numId w:val="8"/>
        </w:numPr>
        <w:ind w:left="0" w:firstLine="360"/>
        <w:jc w:val="both"/>
        <w:rPr>
          <w:szCs w:val="28"/>
        </w:rPr>
      </w:pPr>
      <w:r w:rsidRPr="00B32EDB">
        <w:rPr>
          <w:szCs w:val="28"/>
        </w:rPr>
        <w:t xml:space="preserve">Trong thời gian tới, thời gian giải quyết hồ sơ theo quy định là 03 ngày đối với 11/27 TTHC </w:t>
      </w:r>
      <w:r w:rsidR="00B32EDB" w:rsidRPr="00B32EDB">
        <w:rPr>
          <w:szCs w:val="28"/>
        </w:rPr>
        <w:t xml:space="preserve">còn lại </w:t>
      </w:r>
      <w:r w:rsidRPr="00B32EDB">
        <w:rPr>
          <w:szCs w:val="28"/>
        </w:rPr>
        <w:t>sẽ được Sở triển khai rút ngắn thời gian xuống còn 02 ngày so với quy định</w:t>
      </w:r>
      <w:r w:rsidR="0035333F">
        <w:rPr>
          <w:szCs w:val="28"/>
        </w:rPr>
        <w:t xml:space="preserve"> (t</w:t>
      </w:r>
      <w:r w:rsidR="0035333F" w:rsidRPr="00B32EDB">
        <w:rPr>
          <w:szCs w:val="28"/>
        </w:rPr>
        <w:t>heo Quyết định số 311/QĐ-UBND ngày 08/4/2016 của UBND tỉnh</w:t>
      </w:r>
      <w:r w:rsidR="0035333F">
        <w:rPr>
          <w:szCs w:val="28"/>
        </w:rPr>
        <w:t>)</w:t>
      </w:r>
      <w:r w:rsidRPr="00B32EDB">
        <w:rPr>
          <w:szCs w:val="28"/>
        </w:rPr>
        <w:t>.</w:t>
      </w:r>
    </w:p>
    <w:p w:rsidR="00A51F01" w:rsidRPr="00B81CF4" w:rsidRDefault="00A51F01" w:rsidP="00CD7707">
      <w:pPr>
        <w:spacing w:before="120"/>
        <w:jc w:val="both"/>
        <w:rPr>
          <w:szCs w:val="28"/>
        </w:rPr>
      </w:pPr>
      <w:r w:rsidRPr="00B81CF4">
        <w:rPr>
          <w:szCs w:val="28"/>
        </w:rPr>
        <w:tab/>
      </w:r>
      <w:r w:rsidRPr="00B81CF4">
        <w:rPr>
          <w:b/>
          <w:szCs w:val="28"/>
        </w:rPr>
        <w:t>II</w:t>
      </w:r>
      <w:r w:rsidR="006F1D9B" w:rsidRPr="00B81CF4">
        <w:rPr>
          <w:b/>
          <w:szCs w:val="28"/>
        </w:rPr>
        <w:t>I</w:t>
      </w:r>
      <w:r w:rsidRPr="00B81CF4">
        <w:rPr>
          <w:b/>
          <w:szCs w:val="28"/>
        </w:rPr>
        <w:t>.</w:t>
      </w:r>
      <w:r w:rsidRPr="00B81CF4">
        <w:rPr>
          <w:szCs w:val="28"/>
        </w:rPr>
        <w:t xml:space="preserve"> </w:t>
      </w:r>
      <w:r w:rsidRPr="00B81CF4">
        <w:rPr>
          <w:b/>
          <w:szCs w:val="28"/>
        </w:rPr>
        <w:t>Đánh giá về tình hình, kết quả thực hiện</w:t>
      </w:r>
      <w:r w:rsidRPr="00B81CF4">
        <w:rPr>
          <w:szCs w:val="28"/>
        </w:rPr>
        <w:t>:</w:t>
      </w:r>
    </w:p>
    <w:p w:rsidR="00A51F01" w:rsidRPr="00B81CF4" w:rsidRDefault="00A51F01" w:rsidP="00CD7707">
      <w:pPr>
        <w:jc w:val="both"/>
        <w:rPr>
          <w:b/>
          <w:szCs w:val="28"/>
        </w:rPr>
      </w:pPr>
      <w:r w:rsidRPr="00B81CF4">
        <w:rPr>
          <w:szCs w:val="28"/>
        </w:rPr>
        <w:tab/>
      </w:r>
      <w:r w:rsidRPr="00B81CF4">
        <w:rPr>
          <w:b/>
          <w:szCs w:val="28"/>
        </w:rPr>
        <w:t>1. Ưu điểm, hạn chế, nguyên nhân:</w:t>
      </w:r>
    </w:p>
    <w:p w:rsidR="00A51F01" w:rsidRPr="00B81CF4" w:rsidRDefault="00A51F01" w:rsidP="00CD7707">
      <w:pPr>
        <w:jc w:val="both"/>
        <w:rPr>
          <w:szCs w:val="28"/>
        </w:rPr>
      </w:pPr>
      <w:r w:rsidRPr="00B81CF4">
        <w:rPr>
          <w:b/>
          <w:szCs w:val="28"/>
        </w:rPr>
        <w:tab/>
      </w:r>
      <w:r w:rsidRPr="00B81CF4">
        <w:rPr>
          <w:b/>
          <w:i/>
          <w:szCs w:val="28"/>
        </w:rPr>
        <w:t>a.</w:t>
      </w:r>
      <w:r w:rsidRPr="00B81CF4">
        <w:rPr>
          <w:b/>
          <w:szCs w:val="28"/>
        </w:rPr>
        <w:t xml:space="preserve"> </w:t>
      </w:r>
      <w:r w:rsidRPr="00B81CF4">
        <w:rPr>
          <w:b/>
          <w:i/>
          <w:szCs w:val="28"/>
        </w:rPr>
        <w:t>Ưu điểm</w:t>
      </w:r>
      <w:r w:rsidRPr="00B81CF4">
        <w:rPr>
          <w:szCs w:val="28"/>
        </w:rPr>
        <w:t>:</w:t>
      </w:r>
    </w:p>
    <w:p w:rsidR="00A51F01" w:rsidRPr="00B81CF4" w:rsidRDefault="00A51F01" w:rsidP="00A51F01">
      <w:pPr>
        <w:spacing w:before="120" w:after="120"/>
        <w:ind w:firstLine="720"/>
        <w:jc w:val="both"/>
        <w:rPr>
          <w:szCs w:val="28"/>
        </w:rPr>
      </w:pPr>
      <w:r w:rsidRPr="00B81CF4">
        <w:rPr>
          <w:szCs w:val="28"/>
        </w:rPr>
        <w:t xml:space="preserve">Được sự quan tâm sát sao của Lãnh đạo Sở, công tác kiểm soát TTHC đã từng bước đạt được những kết quả khả quan. Hệ thống các văn bản QPPL thuộc thẩm quyền giải quyết của Sở được sửa đổi và từng bước hoàn thiện. Việc triển khai cơ chế “một cửa”, </w:t>
      </w:r>
      <w:r w:rsidR="00211D5E">
        <w:rPr>
          <w:szCs w:val="28"/>
        </w:rPr>
        <w:t xml:space="preserve">“một cửa liên thông” </w:t>
      </w:r>
      <w:r w:rsidRPr="00B81CF4">
        <w:rPr>
          <w:szCs w:val="28"/>
        </w:rPr>
        <w:t>ứng dụng công nghệ thông tin và hệ thống quản lý chất lượng theo tiêu chuẩn Việt Nam TCVN ISO 9001: 2008 vào hoạt động của cơ quan đã tạo điều kiện thực hiện tốt công tác tiếp nhận, giải quyết TTHC cho cá nhân, tổ chức nói riêng và công tác kiểm soát TTHC nói chung. Hiện nay, nhiều tổ chức, cá nhân có nhu cầu đã nghiên cứu, tìm hiểu các TTHC qua mạng internet, thuận lợi cho việc chuẩn bị hồ sơ đề nghị giải quyết các TTHC.</w:t>
      </w:r>
      <w:r w:rsidR="00211D5E">
        <w:rPr>
          <w:szCs w:val="28"/>
        </w:rPr>
        <w:t xml:space="preserve"> Việc ứng dụng công nghệ thông tin trong tiếp nhận và xử lý hồ sơ đã rút ngắn thời gian trong giải quyết hồ sơ cho tổ chức, cá nhân.</w:t>
      </w:r>
    </w:p>
    <w:p w:rsidR="00A51F01" w:rsidRPr="00B81CF4" w:rsidRDefault="00A51F01" w:rsidP="00A51F01">
      <w:pPr>
        <w:spacing w:before="120" w:after="120"/>
        <w:ind w:firstLine="720"/>
        <w:jc w:val="both"/>
        <w:rPr>
          <w:szCs w:val="28"/>
        </w:rPr>
      </w:pPr>
      <w:r w:rsidRPr="00B81CF4">
        <w:rPr>
          <w:szCs w:val="28"/>
        </w:rPr>
        <w:t xml:space="preserve">Cải cách </w:t>
      </w:r>
      <w:r w:rsidR="009B7D8A" w:rsidRPr="00B81CF4">
        <w:rPr>
          <w:szCs w:val="28"/>
        </w:rPr>
        <w:t>TTHC</w:t>
      </w:r>
      <w:r w:rsidRPr="00B81CF4">
        <w:rPr>
          <w:szCs w:val="28"/>
        </w:rPr>
        <w:t xml:space="preserve"> được chú trọng cả về hình thức và chất lượng, thời gian giải quyết </w:t>
      </w:r>
      <w:r w:rsidR="009B7D8A" w:rsidRPr="00B81CF4">
        <w:rPr>
          <w:szCs w:val="28"/>
        </w:rPr>
        <w:t>TTHC</w:t>
      </w:r>
      <w:r w:rsidRPr="00B81CF4">
        <w:rPr>
          <w:szCs w:val="28"/>
        </w:rPr>
        <w:t xml:space="preserve"> được rút ngắn. Cơ chế một cửa, một cửa liên thông đã phát huy hiệu quả thiết thực: nâng cao tinh thần trách nhiệm và hạn chế tình trạng tiêu cực, nhũng nhiễu của đội ngũ cán bộ, công chức thừa hành nhiệm vụ.</w:t>
      </w:r>
    </w:p>
    <w:p w:rsidR="00A51F01" w:rsidRPr="00B81CF4" w:rsidRDefault="00A51F01" w:rsidP="00A51F01">
      <w:pPr>
        <w:spacing w:before="120" w:after="120"/>
        <w:jc w:val="both"/>
        <w:rPr>
          <w:szCs w:val="28"/>
        </w:rPr>
      </w:pPr>
      <w:r w:rsidRPr="00B81CF4">
        <w:rPr>
          <w:szCs w:val="28"/>
        </w:rPr>
        <w:tab/>
      </w:r>
      <w:r w:rsidRPr="00B81CF4">
        <w:rPr>
          <w:b/>
          <w:i/>
          <w:szCs w:val="28"/>
        </w:rPr>
        <w:t>b. Hạn chế</w:t>
      </w:r>
      <w:r w:rsidRPr="00B81CF4">
        <w:rPr>
          <w:szCs w:val="28"/>
        </w:rPr>
        <w:t>:</w:t>
      </w:r>
    </w:p>
    <w:p w:rsidR="00A51F01" w:rsidRPr="00B81CF4" w:rsidRDefault="00A51F01" w:rsidP="00A51F01">
      <w:pPr>
        <w:spacing w:before="120" w:after="120"/>
        <w:ind w:firstLine="720"/>
        <w:jc w:val="both"/>
        <w:rPr>
          <w:szCs w:val="28"/>
        </w:rPr>
      </w:pPr>
      <w:r w:rsidRPr="00B81CF4">
        <w:rPr>
          <w:szCs w:val="28"/>
        </w:rPr>
        <w:t>Cải cách TTHC đã đạt được một số kết quả đáng ghi nhận, tuy nhiên cải cách TTHC vẫn còn một số hạn chế đó là:</w:t>
      </w:r>
    </w:p>
    <w:p w:rsidR="004C1131" w:rsidRPr="00B81CF4" w:rsidRDefault="00A51F01" w:rsidP="004C1131">
      <w:pPr>
        <w:pStyle w:val="ListParagraph"/>
        <w:numPr>
          <w:ilvl w:val="0"/>
          <w:numId w:val="6"/>
        </w:numPr>
        <w:spacing w:before="120" w:after="120"/>
        <w:ind w:left="0" w:firstLine="360"/>
        <w:jc w:val="both"/>
        <w:rPr>
          <w:szCs w:val="28"/>
        </w:rPr>
      </w:pPr>
      <w:r w:rsidRPr="00B81CF4">
        <w:rPr>
          <w:szCs w:val="28"/>
          <w:lang w:val="pt-BR"/>
        </w:rPr>
        <w:t>Các</w:t>
      </w:r>
      <w:r w:rsidRPr="00B81CF4">
        <w:rPr>
          <w:color w:val="000000"/>
          <w:szCs w:val="28"/>
        </w:rPr>
        <w:t xml:space="preserve"> chế độ, chính sách, pháp luật trong các lĩnh vực thuộc Sở KH&amp;ĐT luôn có sự thay đổi, các TTHC chưa được cập nhật kịp thời, dẫn đến khối lượng các TTHC phải đề nghị bãi bỏ, bổ sung, thay thế, ban hành mới khá nhiều, do đó khó khăn trong công tác kiểm soát, không đảm bảo thời gian theo kế hoạch đề ra.</w:t>
      </w:r>
    </w:p>
    <w:p w:rsidR="004C1131" w:rsidRPr="00B81CF4" w:rsidRDefault="00A51F01" w:rsidP="004C1131">
      <w:pPr>
        <w:pStyle w:val="ListParagraph"/>
        <w:numPr>
          <w:ilvl w:val="0"/>
          <w:numId w:val="6"/>
        </w:numPr>
        <w:spacing w:before="120" w:after="120"/>
        <w:ind w:left="0" w:firstLine="360"/>
        <w:jc w:val="both"/>
        <w:rPr>
          <w:szCs w:val="28"/>
        </w:rPr>
      </w:pPr>
      <w:r w:rsidRPr="00B81CF4">
        <w:rPr>
          <w:szCs w:val="28"/>
        </w:rPr>
        <w:lastRenderedPageBreak/>
        <w:t>Chưa chủ động đề xuất các cơ quan có thẩm quyền ra văn bản hướng dẫn, sửa đổi để nâng cao hiệu quả, từng bước đơn giản hóa các TTHC.</w:t>
      </w:r>
    </w:p>
    <w:p w:rsidR="00A51F01" w:rsidRPr="00B81CF4" w:rsidRDefault="00A51F01" w:rsidP="00F26EDC">
      <w:pPr>
        <w:pStyle w:val="ListParagraph"/>
        <w:spacing w:before="120" w:after="120"/>
        <w:ind w:left="360"/>
        <w:jc w:val="both"/>
        <w:rPr>
          <w:szCs w:val="28"/>
        </w:rPr>
      </w:pPr>
    </w:p>
    <w:p w:rsidR="00A51F01" w:rsidRPr="00B81CF4" w:rsidRDefault="00A51F01" w:rsidP="00A51F01">
      <w:pPr>
        <w:spacing w:before="120" w:after="120"/>
        <w:ind w:firstLine="720"/>
        <w:jc w:val="both"/>
        <w:rPr>
          <w:szCs w:val="28"/>
        </w:rPr>
      </w:pPr>
      <w:r w:rsidRPr="00B81CF4">
        <w:rPr>
          <w:b/>
          <w:i/>
          <w:szCs w:val="28"/>
        </w:rPr>
        <w:t>c. Nguyên nhân</w:t>
      </w:r>
      <w:r w:rsidRPr="00B81CF4">
        <w:rPr>
          <w:szCs w:val="28"/>
        </w:rPr>
        <w:t xml:space="preserve">: </w:t>
      </w:r>
    </w:p>
    <w:p w:rsidR="00A51F01" w:rsidRPr="00B81CF4" w:rsidRDefault="00A51F01" w:rsidP="00A51F01">
      <w:pPr>
        <w:spacing w:before="120" w:after="120"/>
        <w:ind w:firstLine="720"/>
        <w:jc w:val="both"/>
        <w:rPr>
          <w:szCs w:val="28"/>
        </w:rPr>
      </w:pPr>
      <w:r w:rsidRPr="00B81CF4">
        <w:rPr>
          <w:szCs w:val="28"/>
        </w:rPr>
        <w:t xml:space="preserve">Hiện nay nhiều cơ chế, chính sách cũng chưa rõ ràng, gây khó khăn, lúng túng cho cán bộ trong giải quyết TTHC. Hệ thống văn bản quy phạm pháp luật chưa đồng bộ, thay đổi liên tục khiến các </w:t>
      </w:r>
      <w:r w:rsidR="009B7D8A" w:rsidRPr="00B81CF4">
        <w:rPr>
          <w:szCs w:val="28"/>
        </w:rPr>
        <w:t>TTHC</w:t>
      </w:r>
      <w:r w:rsidRPr="00B81CF4">
        <w:rPr>
          <w:szCs w:val="28"/>
        </w:rPr>
        <w:t>, biểu mẫu cũng phải thay đổi, gây không ít khó khăn trong quá trình thực hiện.</w:t>
      </w:r>
    </w:p>
    <w:p w:rsidR="009B7D8A" w:rsidRPr="00B81CF4" w:rsidRDefault="00A51F01" w:rsidP="009B7D8A">
      <w:pPr>
        <w:spacing w:before="120" w:after="120"/>
        <w:ind w:firstLine="720"/>
        <w:jc w:val="both"/>
        <w:rPr>
          <w:szCs w:val="28"/>
        </w:rPr>
      </w:pPr>
      <w:r w:rsidRPr="00B81CF4">
        <w:rPr>
          <w:color w:val="000000"/>
          <w:szCs w:val="28"/>
        </w:rPr>
        <w:t>Chưa có biên chế cán bộ làm công tác đầu mối kiểm soát TTHC chuyên trách, vẫn phải kiêm nhiệm nhiều việc, do đó ảnh hưởng rất nhiều đến tiến độ và chất lượng rà soát các quy định hành chính.</w:t>
      </w:r>
    </w:p>
    <w:p w:rsidR="00A51F01" w:rsidRPr="00B81CF4" w:rsidRDefault="00A51F01" w:rsidP="00A51F01">
      <w:pPr>
        <w:spacing w:before="120" w:after="120"/>
        <w:ind w:firstLine="720"/>
        <w:jc w:val="both"/>
        <w:rPr>
          <w:szCs w:val="28"/>
        </w:rPr>
      </w:pPr>
      <w:r w:rsidRPr="00B81CF4">
        <w:rPr>
          <w:b/>
          <w:szCs w:val="28"/>
        </w:rPr>
        <w:t>2. Đề xuất, kiến nghị</w:t>
      </w:r>
      <w:r w:rsidRPr="00B81CF4">
        <w:rPr>
          <w:szCs w:val="28"/>
        </w:rPr>
        <w:t>:</w:t>
      </w:r>
    </w:p>
    <w:p w:rsidR="00A51F01" w:rsidRPr="00B81CF4" w:rsidRDefault="00A51F01" w:rsidP="00A51F01">
      <w:pPr>
        <w:spacing w:before="120" w:after="120"/>
        <w:ind w:firstLine="720"/>
        <w:jc w:val="both"/>
        <w:rPr>
          <w:szCs w:val="28"/>
        </w:rPr>
      </w:pPr>
      <w:r w:rsidRPr="00B81CF4">
        <w:rPr>
          <w:szCs w:val="28"/>
        </w:rPr>
        <w:t>Để thực hiện cải cách hành chính nói chung và kiểm soát thủ tục hành chính nói riêng được thuận lợi, nhanh chóng cần cụ thể các nội dung cơ chế, chính sách, thể chế quản lý trên các lĩnh vực và là công cụ thực hiện các chức năng, thẩm quyền và trách nhiệm quản lý của các cơ quan hành chính giữa các cơ quan hành chính với nhau và với công dân, tổ chức; TTHC cần bảo đảm tính công khai, minh bạch, đơn giản hóa, dễ hiểu, dễ thực hiện đối với người dân… Cần có cơ sở pháp lý vững chắc, nhất quán, có hiệu quả cao cho quá trình cải cách thủ tục hành chính.</w:t>
      </w:r>
    </w:p>
    <w:p w:rsidR="00A51F01" w:rsidRPr="00B81CF4" w:rsidRDefault="00A51F01" w:rsidP="00A51F01">
      <w:pPr>
        <w:spacing w:before="120" w:after="120"/>
        <w:ind w:firstLine="720"/>
        <w:jc w:val="both"/>
        <w:rPr>
          <w:szCs w:val="28"/>
        </w:rPr>
      </w:pPr>
      <w:r w:rsidRPr="00B81CF4">
        <w:rPr>
          <w:szCs w:val="28"/>
        </w:rPr>
        <w:t>Ngoài ra</w:t>
      </w:r>
      <w:r w:rsidR="002D7822">
        <w:rPr>
          <w:szCs w:val="28"/>
        </w:rPr>
        <w:t>,</w:t>
      </w:r>
      <w:r w:rsidRPr="00B81CF4">
        <w:rPr>
          <w:szCs w:val="28"/>
        </w:rPr>
        <w:t xml:space="preserve"> để </w:t>
      </w:r>
      <w:r w:rsidR="002D7822">
        <w:rPr>
          <w:szCs w:val="28"/>
        </w:rPr>
        <w:t>CCHC</w:t>
      </w:r>
      <w:r w:rsidRPr="00B81CF4">
        <w:rPr>
          <w:szCs w:val="28"/>
        </w:rPr>
        <w:t xml:space="preserve"> được triển khai hiệu quả hơn đề nghị trong các đợt tập huấn cần mở rộng đối tượng tập huấn không chỉ là các đầu mối như Văn phòng, bộ phận một cửa mà cần đưa thêm cán bộ chuyên môn, người trực tiếp xử lý các TTHC để khi triển khai, thực hiện đạt được hiệu quả.</w:t>
      </w:r>
    </w:p>
    <w:p w:rsidR="00A51F01" w:rsidRPr="00B81CF4" w:rsidRDefault="00A51F01" w:rsidP="00A51F01">
      <w:pPr>
        <w:spacing w:before="120" w:after="120"/>
        <w:ind w:firstLine="720"/>
        <w:jc w:val="both"/>
        <w:rPr>
          <w:szCs w:val="28"/>
        </w:rPr>
      </w:pPr>
      <w:r w:rsidRPr="00B81CF4">
        <w:rPr>
          <w:szCs w:val="28"/>
        </w:rPr>
        <w:t>Trên đây là tình hình kết quả thực hiện công tác kiểm soát TTHC năm 201</w:t>
      </w:r>
      <w:r w:rsidR="004A659B" w:rsidRPr="00B81CF4">
        <w:rPr>
          <w:szCs w:val="28"/>
        </w:rPr>
        <w:t>6</w:t>
      </w:r>
      <w:r w:rsidRPr="00B81CF4">
        <w:rPr>
          <w:szCs w:val="28"/>
        </w:rPr>
        <w:t xml:space="preserve"> của Sở Kế hoạch và Đầu tư gửi Sở Tư pháp tổng hợp, bá</w:t>
      </w:r>
      <w:bookmarkStart w:id="0" w:name="_GoBack"/>
      <w:bookmarkEnd w:id="0"/>
      <w:r w:rsidRPr="00B81CF4">
        <w:rPr>
          <w:szCs w:val="28"/>
        </w:rPr>
        <w:t>o cáo./.</w:t>
      </w:r>
    </w:p>
    <w:p w:rsidR="00A51F01" w:rsidRPr="00B81CF4" w:rsidRDefault="00A51F01" w:rsidP="00A51F01">
      <w:pPr>
        <w:ind w:firstLine="720"/>
        <w:jc w:val="both"/>
        <w:rPr>
          <w:szCs w:val="28"/>
        </w:rPr>
      </w:pPr>
    </w:p>
    <w:tbl>
      <w:tblPr>
        <w:tblW w:w="9356" w:type="dxa"/>
        <w:tblInd w:w="108" w:type="dxa"/>
        <w:tblLayout w:type="fixed"/>
        <w:tblLook w:val="0000" w:firstRow="0" w:lastRow="0" w:firstColumn="0" w:lastColumn="0" w:noHBand="0" w:noVBand="0"/>
      </w:tblPr>
      <w:tblGrid>
        <w:gridCol w:w="4140"/>
        <w:gridCol w:w="5216"/>
      </w:tblGrid>
      <w:tr w:rsidR="00A51F01" w:rsidRPr="00B81CF4" w:rsidTr="00BA5CC3">
        <w:tc>
          <w:tcPr>
            <w:tcW w:w="4140" w:type="dxa"/>
          </w:tcPr>
          <w:p w:rsidR="00A51F01" w:rsidRPr="00B81CF4" w:rsidRDefault="00A51F01" w:rsidP="00BA5CC3">
            <w:pPr>
              <w:jc w:val="both"/>
              <w:rPr>
                <w:i/>
                <w:sz w:val="24"/>
              </w:rPr>
            </w:pPr>
            <w:r w:rsidRPr="00B81CF4">
              <w:rPr>
                <w:b/>
                <w:i/>
                <w:sz w:val="24"/>
              </w:rPr>
              <w:t>Nơi nhận:</w:t>
            </w:r>
          </w:p>
          <w:p w:rsidR="00A51F01" w:rsidRPr="00B81CF4" w:rsidRDefault="00A51F01" w:rsidP="00BA5CC3">
            <w:pPr>
              <w:rPr>
                <w:sz w:val="22"/>
                <w:szCs w:val="28"/>
              </w:rPr>
            </w:pPr>
            <w:r w:rsidRPr="00B81CF4">
              <w:rPr>
                <w:sz w:val="22"/>
                <w:szCs w:val="28"/>
              </w:rPr>
              <w:t>- Sở Tư pháp;</w:t>
            </w:r>
          </w:p>
          <w:p w:rsidR="00A51F01" w:rsidRPr="00B81CF4" w:rsidRDefault="00A51F01" w:rsidP="00BA5CC3">
            <w:pPr>
              <w:rPr>
                <w:sz w:val="22"/>
                <w:szCs w:val="28"/>
              </w:rPr>
            </w:pPr>
            <w:r w:rsidRPr="00B81CF4">
              <w:rPr>
                <w:sz w:val="22"/>
                <w:szCs w:val="28"/>
              </w:rPr>
              <w:t>- Sở nội vụ;</w:t>
            </w:r>
          </w:p>
          <w:p w:rsidR="00A51F01" w:rsidRPr="00B81CF4" w:rsidRDefault="00A51F01" w:rsidP="00BA5CC3">
            <w:pPr>
              <w:rPr>
                <w:sz w:val="22"/>
                <w:szCs w:val="28"/>
              </w:rPr>
            </w:pPr>
            <w:r w:rsidRPr="00B81CF4">
              <w:rPr>
                <w:sz w:val="22"/>
                <w:szCs w:val="28"/>
              </w:rPr>
              <w:t>- UBND tỉnh (b/c);</w:t>
            </w:r>
          </w:p>
          <w:p w:rsidR="00A51F01" w:rsidRPr="00B81CF4" w:rsidRDefault="00A51F01" w:rsidP="00BA5CC3">
            <w:pPr>
              <w:rPr>
                <w:sz w:val="22"/>
                <w:szCs w:val="28"/>
              </w:rPr>
            </w:pPr>
            <w:r w:rsidRPr="00B81CF4">
              <w:rPr>
                <w:sz w:val="22"/>
                <w:szCs w:val="28"/>
              </w:rPr>
              <w:t>- Lãnh đạo Sở;</w:t>
            </w:r>
          </w:p>
          <w:p w:rsidR="00A51F01" w:rsidRPr="00B81CF4" w:rsidRDefault="00A51F01" w:rsidP="00BA5CC3">
            <w:pPr>
              <w:rPr>
                <w:sz w:val="22"/>
                <w:szCs w:val="28"/>
              </w:rPr>
            </w:pPr>
            <w:r w:rsidRPr="00B81CF4">
              <w:rPr>
                <w:sz w:val="22"/>
                <w:szCs w:val="28"/>
              </w:rPr>
              <w:t>- Đăng tin trên website Sở;</w:t>
            </w:r>
          </w:p>
          <w:p w:rsidR="00A51F01" w:rsidRPr="00B81CF4" w:rsidRDefault="00A51F01" w:rsidP="00BA5CC3">
            <w:pPr>
              <w:rPr>
                <w:szCs w:val="28"/>
              </w:rPr>
            </w:pPr>
            <w:r w:rsidRPr="00B81CF4">
              <w:rPr>
                <w:sz w:val="22"/>
                <w:szCs w:val="28"/>
              </w:rPr>
              <w:t>- Lưu VT, VP.</w:t>
            </w:r>
          </w:p>
        </w:tc>
        <w:tc>
          <w:tcPr>
            <w:tcW w:w="5216" w:type="dxa"/>
          </w:tcPr>
          <w:p w:rsidR="00A51F01" w:rsidRPr="00B81CF4" w:rsidRDefault="00A51F01" w:rsidP="00BA5CC3">
            <w:pPr>
              <w:jc w:val="center"/>
              <w:rPr>
                <w:b/>
                <w:sz w:val="26"/>
                <w:szCs w:val="28"/>
              </w:rPr>
            </w:pPr>
            <w:r w:rsidRPr="00B81CF4">
              <w:rPr>
                <w:b/>
                <w:sz w:val="26"/>
                <w:szCs w:val="28"/>
              </w:rPr>
              <w:t>KT. GIÁM ĐỐC</w:t>
            </w:r>
          </w:p>
          <w:p w:rsidR="00A51F01" w:rsidRPr="00B81CF4" w:rsidRDefault="00A51F01" w:rsidP="00BA5CC3">
            <w:pPr>
              <w:jc w:val="center"/>
              <w:rPr>
                <w:b/>
                <w:sz w:val="26"/>
                <w:szCs w:val="28"/>
              </w:rPr>
            </w:pPr>
            <w:r w:rsidRPr="00B81CF4">
              <w:rPr>
                <w:b/>
                <w:sz w:val="26"/>
                <w:szCs w:val="28"/>
              </w:rPr>
              <w:t>PHÓ GIÁM ĐỐC</w:t>
            </w:r>
          </w:p>
          <w:p w:rsidR="00A51F01" w:rsidRPr="00B81CF4" w:rsidRDefault="00A51F01" w:rsidP="00BA5CC3">
            <w:pPr>
              <w:jc w:val="center"/>
              <w:rPr>
                <w:b/>
                <w:szCs w:val="28"/>
              </w:rPr>
            </w:pPr>
          </w:p>
          <w:p w:rsidR="00A51F01" w:rsidRPr="00B81CF4" w:rsidRDefault="00A51F01" w:rsidP="00BA5CC3">
            <w:pPr>
              <w:jc w:val="center"/>
              <w:rPr>
                <w:b/>
                <w:szCs w:val="28"/>
              </w:rPr>
            </w:pPr>
          </w:p>
          <w:p w:rsidR="00A51F01" w:rsidRPr="00B81CF4" w:rsidRDefault="00A51F01" w:rsidP="00BA5CC3">
            <w:pPr>
              <w:jc w:val="center"/>
              <w:rPr>
                <w:b/>
                <w:szCs w:val="28"/>
              </w:rPr>
            </w:pPr>
          </w:p>
          <w:p w:rsidR="00A51F01" w:rsidRPr="00B81CF4" w:rsidRDefault="00A51F01" w:rsidP="00BA5CC3">
            <w:pPr>
              <w:jc w:val="center"/>
              <w:rPr>
                <w:b/>
                <w:szCs w:val="28"/>
              </w:rPr>
            </w:pPr>
          </w:p>
          <w:p w:rsidR="00A51F01" w:rsidRPr="00B81CF4" w:rsidRDefault="00A51F01" w:rsidP="00BA5CC3">
            <w:pPr>
              <w:jc w:val="center"/>
              <w:rPr>
                <w:b/>
                <w:szCs w:val="28"/>
              </w:rPr>
            </w:pPr>
          </w:p>
          <w:p w:rsidR="00A51F01" w:rsidRPr="00B81CF4" w:rsidRDefault="00A51F01" w:rsidP="00BA5CC3">
            <w:pPr>
              <w:jc w:val="center"/>
              <w:rPr>
                <w:b/>
                <w:szCs w:val="28"/>
              </w:rPr>
            </w:pPr>
          </w:p>
          <w:p w:rsidR="00A51F01" w:rsidRPr="00B81CF4" w:rsidRDefault="00A51F01" w:rsidP="00BA5CC3">
            <w:pPr>
              <w:jc w:val="center"/>
              <w:rPr>
                <w:b/>
                <w:szCs w:val="28"/>
              </w:rPr>
            </w:pPr>
            <w:r w:rsidRPr="00B81CF4">
              <w:rPr>
                <w:b/>
                <w:szCs w:val="28"/>
              </w:rPr>
              <w:t>Nguyễn Thị Tuyết Nga</w:t>
            </w:r>
          </w:p>
        </w:tc>
      </w:tr>
    </w:tbl>
    <w:p w:rsidR="00EF4896" w:rsidRPr="00B81CF4" w:rsidRDefault="00EF4896" w:rsidP="00EF4896"/>
    <w:p w:rsidR="00BB3991" w:rsidRPr="00B81CF4" w:rsidRDefault="00BB3991"/>
    <w:sectPr w:rsidR="00BB3991" w:rsidRPr="00B81CF4" w:rsidSect="00BA7AC7">
      <w:footerReference w:type="default" r:id="rId8"/>
      <w:pgSz w:w="11909" w:h="16834" w:code="9"/>
      <w:pgMar w:top="720" w:right="979" w:bottom="475" w:left="1267" w:header="576" w:footer="9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3F" w:rsidRDefault="00864A3F" w:rsidP="009B7D8A">
      <w:r>
        <w:separator/>
      </w:r>
    </w:p>
  </w:endnote>
  <w:endnote w:type="continuationSeparator" w:id="0">
    <w:p w:rsidR="00864A3F" w:rsidRDefault="00864A3F" w:rsidP="009B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FF5" w:rsidRPr="009B7D8A" w:rsidRDefault="00BE2FAA" w:rsidP="009B7D8A">
    <w:pPr>
      <w:pStyle w:val="Footer"/>
      <w:jc w:val="right"/>
      <w:rPr>
        <w:rFonts w:ascii="Times New Roman" w:hAnsi="Times New Roman"/>
        <w:sz w:val="26"/>
        <w:szCs w:val="26"/>
      </w:rPr>
    </w:pPr>
    <w:r w:rsidRPr="009B7D8A">
      <w:rPr>
        <w:rStyle w:val="PageNumber"/>
        <w:rFonts w:ascii="Times New Roman" w:hAnsi="Times New Roman"/>
        <w:sz w:val="26"/>
        <w:szCs w:val="26"/>
      </w:rPr>
      <w:fldChar w:fldCharType="begin"/>
    </w:r>
    <w:r w:rsidR="00FA1728" w:rsidRPr="009B7D8A">
      <w:rPr>
        <w:rStyle w:val="PageNumber"/>
        <w:rFonts w:ascii="Times New Roman" w:hAnsi="Times New Roman"/>
        <w:sz w:val="26"/>
        <w:szCs w:val="26"/>
      </w:rPr>
      <w:instrText xml:space="preserve"> PAGE </w:instrText>
    </w:r>
    <w:r w:rsidRPr="009B7D8A">
      <w:rPr>
        <w:rStyle w:val="PageNumber"/>
        <w:rFonts w:ascii="Times New Roman" w:hAnsi="Times New Roman"/>
        <w:sz w:val="26"/>
        <w:szCs w:val="26"/>
      </w:rPr>
      <w:fldChar w:fldCharType="separate"/>
    </w:r>
    <w:r w:rsidR="00F26EDC">
      <w:rPr>
        <w:rStyle w:val="PageNumber"/>
        <w:rFonts w:ascii="Times New Roman" w:hAnsi="Times New Roman"/>
        <w:noProof/>
        <w:sz w:val="26"/>
        <w:szCs w:val="26"/>
      </w:rPr>
      <w:t>6</w:t>
    </w:r>
    <w:r w:rsidRPr="009B7D8A">
      <w:rPr>
        <w:rStyle w:val="PageNumber"/>
        <w:rFonts w:ascii="Times New Roman" w:hAnsi="Times New Roman"/>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3F" w:rsidRDefault="00864A3F" w:rsidP="009B7D8A">
      <w:r>
        <w:separator/>
      </w:r>
    </w:p>
  </w:footnote>
  <w:footnote w:type="continuationSeparator" w:id="0">
    <w:p w:rsidR="00864A3F" w:rsidRDefault="00864A3F" w:rsidP="009B7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6976"/>
    <w:multiLevelType w:val="hybridMultilevel"/>
    <w:tmpl w:val="438E1EBA"/>
    <w:lvl w:ilvl="0" w:tplc="7D0223C6">
      <w:start w:val="2"/>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81109"/>
    <w:multiLevelType w:val="hybridMultilevel"/>
    <w:tmpl w:val="7FDA4502"/>
    <w:lvl w:ilvl="0" w:tplc="95CAF3C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74C56"/>
    <w:multiLevelType w:val="hybridMultilevel"/>
    <w:tmpl w:val="7238294E"/>
    <w:lvl w:ilvl="0" w:tplc="7D0223C6">
      <w:start w:val="2"/>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A1C9C"/>
    <w:multiLevelType w:val="hybridMultilevel"/>
    <w:tmpl w:val="1B029C5E"/>
    <w:lvl w:ilvl="0" w:tplc="75D256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A471E"/>
    <w:multiLevelType w:val="hybridMultilevel"/>
    <w:tmpl w:val="F796E58A"/>
    <w:lvl w:ilvl="0" w:tplc="95CAF3C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C43F3"/>
    <w:multiLevelType w:val="hybridMultilevel"/>
    <w:tmpl w:val="1DD6EDB4"/>
    <w:lvl w:ilvl="0" w:tplc="7D0223C6">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8E15F4"/>
    <w:multiLevelType w:val="hybridMultilevel"/>
    <w:tmpl w:val="BC4C3AF8"/>
    <w:lvl w:ilvl="0" w:tplc="9014B4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10ED2"/>
    <w:multiLevelType w:val="hybridMultilevel"/>
    <w:tmpl w:val="A814B490"/>
    <w:lvl w:ilvl="0" w:tplc="95CAF3C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96"/>
    <w:rsid w:val="00007B2C"/>
    <w:rsid w:val="00012046"/>
    <w:rsid w:val="00014220"/>
    <w:rsid w:val="00045BC7"/>
    <w:rsid w:val="00070122"/>
    <w:rsid w:val="000835AB"/>
    <w:rsid w:val="000A7DD6"/>
    <w:rsid w:val="000C13D6"/>
    <w:rsid w:val="000F063A"/>
    <w:rsid w:val="00107B2B"/>
    <w:rsid w:val="00174424"/>
    <w:rsid w:val="0018118C"/>
    <w:rsid w:val="001A43AA"/>
    <w:rsid w:val="001E1E76"/>
    <w:rsid w:val="001E2AD1"/>
    <w:rsid w:val="001E3357"/>
    <w:rsid w:val="00211D5E"/>
    <w:rsid w:val="00220138"/>
    <w:rsid w:val="00286D6C"/>
    <w:rsid w:val="00294145"/>
    <w:rsid w:val="002B1CD5"/>
    <w:rsid w:val="002D6C5F"/>
    <w:rsid w:val="002D7822"/>
    <w:rsid w:val="002E1561"/>
    <w:rsid w:val="003118E6"/>
    <w:rsid w:val="003303E3"/>
    <w:rsid w:val="0035333F"/>
    <w:rsid w:val="003622EF"/>
    <w:rsid w:val="00386837"/>
    <w:rsid w:val="00391073"/>
    <w:rsid w:val="003C06F4"/>
    <w:rsid w:val="003E79DE"/>
    <w:rsid w:val="004366C5"/>
    <w:rsid w:val="0045324D"/>
    <w:rsid w:val="00453D35"/>
    <w:rsid w:val="00485015"/>
    <w:rsid w:val="004A659B"/>
    <w:rsid w:val="004B1F2C"/>
    <w:rsid w:val="004C1131"/>
    <w:rsid w:val="004C182E"/>
    <w:rsid w:val="004C2521"/>
    <w:rsid w:val="004C50CF"/>
    <w:rsid w:val="004E090B"/>
    <w:rsid w:val="004E4E19"/>
    <w:rsid w:val="00514BE1"/>
    <w:rsid w:val="00521C6E"/>
    <w:rsid w:val="005809EF"/>
    <w:rsid w:val="0058464D"/>
    <w:rsid w:val="005E69F0"/>
    <w:rsid w:val="00683893"/>
    <w:rsid w:val="006B7E77"/>
    <w:rsid w:val="006C2E57"/>
    <w:rsid w:val="006C46DB"/>
    <w:rsid w:val="006D0788"/>
    <w:rsid w:val="006F1D9B"/>
    <w:rsid w:val="006F5176"/>
    <w:rsid w:val="00706327"/>
    <w:rsid w:val="00736DDB"/>
    <w:rsid w:val="00772D57"/>
    <w:rsid w:val="00793799"/>
    <w:rsid w:val="00810733"/>
    <w:rsid w:val="00864A3F"/>
    <w:rsid w:val="008720E4"/>
    <w:rsid w:val="00961158"/>
    <w:rsid w:val="00967583"/>
    <w:rsid w:val="00984784"/>
    <w:rsid w:val="00984EC4"/>
    <w:rsid w:val="0099486E"/>
    <w:rsid w:val="009B7D8A"/>
    <w:rsid w:val="009C78F3"/>
    <w:rsid w:val="00A123F5"/>
    <w:rsid w:val="00A150B9"/>
    <w:rsid w:val="00A41743"/>
    <w:rsid w:val="00A51F01"/>
    <w:rsid w:val="00A61F07"/>
    <w:rsid w:val="00A822E6"/>
    <w:rsid w:val="00AC2986"/>
    <w:rsid w:val="00AD2D2C"/>
    <w:rsid w:val="00AE3DB8"/>
    <w:rsid w:val="00AF1768"/>
    <w:rsid w:val="00B32EDB"/>
    <w:rsid w:val="00B349CE"/>
    <w:rsid w:val="00B4170D"/>
    <w:rsid w:val="00B81CF4"/>
    <w:rsid w:val="00B85A6F"/>
    <w:rsid w:val="00BA7AC7"/>
    <w:rsid w:val="00BB3991"/>
    <w:rsid w:val="00BC17BD"/>
    <w:rsid w:val="00BC4F11"/>
    <w:rsid w:val="00BE2FAA"/>
    <w:rsid w:val="00C175A6"/>
    <w:rsid w:val="00C17C17"/>
    <w:rsid w:val="00CB454A"/>
    <w:rsid w:val="00CD7707"/>
    <w:rsid w:val="00CE7E3C"/>
    <w:rsid w:val="00D43BB0"/>
    <w:rsid w:val="00D47437"/>
    <w:rsid w:val="00D5393F"/>
    <w:rsid w:val="00D6305F"/>
    <w:rsid w:val="00DE193A"/>
    <w:rsid w:val="00DE6521"/>
    <w:rsid w:val="00EB0B29"/>
    <w:rsid w:val="00EB44E1"/>
    <w:rsid w:val="00EC2AB6"/>
    <w:rsid w:val="00EF4896"/>
    <w:rsid w:val="00F100C1"/>
    <w:rsid w:val="00F26EDC"/>
    <w:rsid w:val="00F56840"/>
    <w:rsid w:val="00F849E5"/>
    <w:rsid w:val="00FA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6EA2F-CD0E-40B5-AD7A-E70790A2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96"/>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uiPriority w:val="9"/>
    <w:qFormat/>
    <w:rsid w:val="00C17C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F4896"/>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EF4896"/>
    <w:rPr>
      <w:rFonts w:ascii="Calibri" w:eastAsia="Calibri" w:hAnsi="Calibri" w:cs="Times New Roman"/>
    </w:rPr>
  </w:style>
  <w:style w:type="character" w:styleId="PageNumber">
    <w:name w:val="page number"/>
    <w:basedOn w:val="DefaultParagraphFont"/>
    <w:rsid w:val="00EF4896"/>
  </w:style>
  <w:style w:type="paragraph" w:styleId="ListParagraph">
    <w:name w:val="List Paragraph"/>
    <w:basedOn w:val="Normal"/>
    <w:uiPriority w:val="34"/>
    <w:qFormat/>
    <w:rsid w:val="00485015"/>
    <w:pPr>
      <w:ind w:left="720"/>
      <w:contextualSpacing/>
    </w:pPr>
  </w:style>
  <w:style w:type="paragraph" w:styleId="Header">
    <w:name w:val="header"/>
    <w:basedOn w:val="Normal"/>
    <w:link w:val="HeaderChar"/>
    <w:uiPriority w:val="99"/>
    <w:semiHidden/>
    <w:unhideWhenUsed/>
    <w:rsid w:val="009B7D8A"/>
    <w:pPr>
      <w:tabs>
        <w:tab w:val="center" w:pos="4680"/>
        <w:tab w:val="right" w:pos="9360"/>
      </w:tabs>
    </w:pPr>
  </w:style>
  <w:style w:type="character" w:customStyle="1" w:styleId="HeaderChar">
    <w:name w:val="Header Char"/>
    <w:basedOn w:val="DefaultParagraphFont"/>
    <w:link w:val="Header"/>
    <w:uiPriority w:val="99"/>
    <w:semiHidden/>
    <w:rsid w:val="009B7D8A"/>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C17C1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4784"/>
    <w:rPr>
      <w:color w:val="0563C1" w:themeColor="hyperlink"/>
      <w:u w:val="single"/>
    </w:rPr>
  </w:style>
  <w:style w:type="paragraph" w:styleId="BalloonText">
    <w:name w:val="Balloon Text"/>
    <w:basedOn w:val="Normal"/>
    <w:link w:val="BalloonTextChar"/>
    <w:uiPriority w:val="99"/>
    <w:semiHidden/>
    <w:unhideWhenUsed/>
    <w:rsid w:val="00107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B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khdt.giala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6</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28</cp:revision>
  <cp:lastPrinted>2016-11-11T02:57:00Z</cp:lastPrinted>
  <dcterms:created xsi:type="dcterms:W3CDTF">2016-11-08T03:42:00Z</dcterms:created>
  <dcterms:modified xsi:type="dcterms:W3CDTF">2016-11-15T01:53:00Z</dcterms:modified>
</cp:coreProperties>
</file>